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D8D" w:rsidRPr="002067C9" w:rsidRDefault="00BD0D8D">
      <w:pPr>
        <w:spacing w:line="1" w:lineRule="exact"/>
        <w:rPr>
          <w:rFonts w:ascii="Arial" w:hAnsi="Arial" w:cs="Arial"/>
          <w:sz w:val="20"/>
          <w:szCs w:val="20"/>
        </w:rPr>
      </w:pPr>
    </w:p>
    <w:tbl>
      <w:tblPr>
        <w:tblStyle w:val="TableGrid"/>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
        <w:gridCol w:w="3798"/>
        <w:gridCol w:w="660"/>
        <w:gridCol w:w="4538"/>
        <w:gridCol w:w="565"/>
      </w:tblGrid>
      <w:tr w:rsidR="00B03515" w:rsidRPr="00614B75" w:rsidTr="001A5E7E">
        <w:trPr>
          <w:trHeight w:val="1995"/>
        </w:trPr>
        <w:tc>
          <w:tcPr>
            <w:tcW w:w="4683" w:type="dxa"/>
            <w:gridSpan w:val="3"/>
            <w:hideMark/>
          </w:tcPr>
          <w:p w:rsidR="00B03515" w:rsidRDefault="00B03515" w:rsidP="00B03515">
            <w:pPr>
              <w:pStyle w:val="Vnbnnidung20"/>
              <w:spacing w:line="221" w:lineRule="auto"/>
              <w:jc w:val="center"/>
              <w:rPr>
                <w:rFonts w:ascii="Arial" w:hAnsi="Arial" w:cs="Arial"/>
                <w:sz w:val="20"/>
                <w:szCs w:val="20"/>
              </w:rPr>
            </w:pPr>
            <w:r w:rsidRPr="002067C9">
              <w:rPr>
                <w:rFonts w:ascii="Arial" w:hAnsi="Arial" w:cs="Arial"/>
                <w:sz w:val="20"/>
                <w:szCs w:val="20"/>
              </w:rPr>
              <w:t>TỔNG CỤC THUẾ</w:t>
            </w:r>
          </w:p>
          <w:p w:rsidR="00B03515" w:rsidRDefault="00B03515" w:rsidP="00B03515">
            <w:pPr>
              <w:pStyle w:val="Vnbnnidung20"/>
              <w:spacing w:line="221" w:lineRule="auto"/>
              <w:jc w:val="center"/>
              <w:rPr>
                <w:rFonts w:ascii="Arial" w:hAnsi="Arial" w:cs="Arial"/>
                <w:b/>
                <w:bCs/>
                <w:sz w:val="20"/>
                <w:szCs w:val="20"/>
              </w:rPr>
            </w:pPr>
            <w:r w:rsidRPr="00B03515">
              <w:rPr>
                <w:rFonts w:ascii="Arial" w:hAnsi="Arial" w:cs="Arial"/>
                <w:b/>
                <w:bCs/>
                <w:sz w:val="20"/>
                <w:szCs w:val="20"/>
              </w:rPr>
              <w:t xml:space="preserve">CỤC THUẾ TỈNH CAO </w:t>
            </w:r>
            <w:r w:rsidRPr="002067C9">
              <w:rPr>
                <w:rFonts w:ascii="Arial" w:hAnsi="Arial" w:cs="Arial"/>
                <w:b/>
                <w:bCs/>
                <w:sz w:val="20"/>
                <w:szCs w:val="20"/>
              </w:rPr>
              <w:t>BẰNG</w:t>
            </w:r>
          </w:p>
          <w:p w:rsidR="00B03515" w:rsidRDefault="00B03515" w:rsidP="00B03515">
            <w:pPr>
              <w:pStyle w:val="Vnbnnidung20"/>
              <w:spacing w:line="221" w:lineRule="auto"/>
              <w:jc w:val="center"/>
              <w:rPr>
                <w:rFonts w:ascii="Arial" w:hAnsi="Arial" w:cs="Arial"/>
                <w:sz w:val="20"/>
                <w:szCs w:val="20"/>
              </w:rPr>
            </w:pPr>
            <w:r w:rsidRPr="002067C9">
              <w:rPr>
                <w:rFonts w:ascii="Arial" w:hAnsi="Arial" w:cs="Arial"/>
                <w:sz w:val="20"/>
                <w:szCs w:val="20"/>
              </w:rPr>
              <w:t>Số: 529 /CTCBA-TTHT</w:t>
            </w:r>
          </w:p>
          <w:p w:rsidR="00B03515" w:rsidRPr="00047FB8" w:rsidRDefault="00B03515" w:rsidP="00B03515">
            <w:pPr>
              <w:pStyle w:val="Vnbnnidung20"/>
              <w:spacing w:line="221" w:lineRule="auto"/>
              <w:jc w:val="center"/>
              <w:rPr>
                <w:rFonts w:ascii="Arial" w:hAnsi="Arial" w:cs="Arial"/>
                <w:sz w:val="20"/>
                <w:szCs w:val="20"/>
              </w:rPr>
            </w:pPr>
            <w:r w:rsidRPr="002067C9">
              <w:rPr>
                <w:rFonts w:ascii="Arial" w:hAnsi="Arial" w:cs="Arial"/>
                <w:sz w:val="20"/>
                <w:szCs w:val="20"/>
              </w:rPr>
              <w:t>V/v chính sách thuế đối với</w:t>
            </w:r>
            <w:r>
              <w:rPr>
                <w:rFonts w:ascii="Arial" w:hAnsi="Arial" w:cs="Arial"/>
                <w:sz w:val="20"/>
                <w:szCs w:val="20"/>
                <w:lang w:val="en-US"/>
              </w:rPr>
              <w:t xml:space="preserve"> </w:t>
            </w:r>
            <w:r w:rsidRPr="002067C9">
              <w:rPr>
                <w:rFonts w:ascii="Arial" w:hAnsi="Arial" w:cs="Arial"/>
                <w:sz w:val="20"/>
                <w:szCs w:val="20"/>
              </w:rPr>
              <w:t>Cơ sở giáo dục công lập</w:t>
            </w:r>
          </w:p>
        </w:tc>
        <w:tc>
          <w:tcPr>
            <w:tcW w:w="5103" w:type="dxa"/>
            <w:gridSpan w:val="2"/>
            <w:hideMark/>
          </w:tcPr>
          <w:p w:rsidR="00B03515" w:rsidRPr="00BD0932" w:rsidRDefault="00B03515" w:rsidP="001A5E7E">
            <w:pPr>
              <w:pStyle w:val="Vnbnnidung0"/>
              <w:ind w:right="440" w:firstLine="284"/>
              <w:jc w:val="center"/>
              <w:rPr>
                <w:rFonts w:ascii="Arial" w:hAnsi="Arial" w:cs="Arial"/>
                <w:b/>
                <w:bCs/>
                <w:color w:val="auto"/>
                <w:sz w:val="20"/>
                <w:szCs w:val="20"/>
              </w:rPr>
            </w:pPr>
            <w:r w:rsidRPr="00BD0932">
              <w:rPr>
                <w:rFonts w:ascii="Arial" w:hAnsi="Arial" w:cs="Arial"/>
                <w:b/>
                <w:bCs/>
                <w:color w:val="auto"/>
                <w:sz w:val="20"/>
                <w:szCs w:val="20"/>
              </w:rPr>
              <w:t>C</w:t>
            </w:r>
            <w:r w:rsidRPr="00BD0932">
              <w:rPr>
                <w:rFonts w:ascii="Arial" w:hAnsi="Arial" w:cs="Arial"/>
                <w:b/>
                <w:bCs/>
                <w:color w:val="auto"/>
                <w:sz w:val="20"/>
                <w:szCs w:val="20"/>
                <w:lang w:val="en-US"/>
              </w:rPr>
              <w:t>Ộ</w:t>
            </w:r>
            <w:r w:rsidRPr="00BD0932">
              <w:rPr>
                <w:rFonts w:ascii="Arial" w:hAnsi="Arial" w:cs="Arial"/>
                <w:b/>
                <w:bCs/>
                <w:color w:val="auto"/>
                <w:sz w:val="20"/>
                <w:szCs w:val="20"/>
              </w:rPr>
              <w:t>NG HOÀ XÃ HỘI CHỦ NGHĨA VIỆT NAM</w:t>
            </w:r>
          </w:p>
          <w:p w:rsidR="00B03515" w:rsidRPr="00BD0932" w:rsidRDefault="00B03515" w:rsidP="001A5E7E">
            <w:pPr>
              <w:pStyle w:val="Vnbnnidung0"/>
              <w:ind w:right="440" w:firstLine="284"/>
              <w:jc w:val="center"/>
              <w:rPr>
                <w:rFonts w:ascii="Arial" w:hAnsi="Arial" w:cs="Arial"/>
                <w:b/>
                <w:bCs/>
                <w:color w:val="auto"/>
                <w:sz w:val="20"/>
                <w:szCs w:val="20"/>
              </w:rPr>
            </w:pPr>
            <w:r w:rsidRPr="00BD0932">
              <w:rPr>
                <w:rFonts w:ascii="Arial" w:hAnsi="Arial" w:cs="Arial"/>
                <w:b/>
                <w:bCs/>
                <w:color w:val="auto"/>
                <w:sz w:val="20"/>
                <w:szCs w:val="20"/>
              </w:rPr>
              <w:t>Độc lập - Tự do - Hạnh phúc</w:t>
            </w:r>
          </w:p>
          <w:p w:rsidR="00B03515" w:rsidRPr="00614B75" w:rsidRDefault="00B03515" w:rsidP="00B03515">
            <w:pPr>
              <w:pStyle w:val="Vnbnnidung0"/>
              <w:spacing w:after="960"/>
              <w:ind w:right="400" w:firstLine="0"/>
              <w:jc w:val="right"/>
              <w:rPr>
                <w:rFonts w:ascii="Arial" w:hAnsi="Arial" w:cs="Arial"/>
                <w:i/>
                <w:color w:val="auto"/>
                <w:sz w:val="20"/>
                <w:szCs w:val="20"/>
              </w:rPr>
            </w:pPr>
            <w:r>
              <w:rPr>
                <w:rFonts w:ascii="Arial" w:hAnsi="Arial" w:cs="Arial"/>
                <w:i/>
                <w:color w:val="auto"/>
                <w:sz w:val="20"/>
                <w:szCs w:val="20"/>
                <w:lang w:val="en-US"/>
              </w:rPr>
              <w:t>Cao Bằng</w:t>
            </w:r>
            <w:r w:rsidRPr="00614B75">
              <w:rPr>
                <w:rFonts w:ascii="Arial" w:hAnsi="Arial" w:cs="Arial"/>
                <w:i/>
                <w:color w:val="auto"/>
                <w:sz w:val="20"/>
                <w:szCs w:val="20"/>
              </w:rPr>
              <w:t xml:space="preserve">, ngày </w:t>
            </w:r>
            <w:r>
              <w:rPr>
                <w:rFonts w:ascii="Arial" w:hAnsi="Arial" w:cs="Arial"/>
                <w:i/>
                <w:color w:val="auto"/>
                <w:sz w:val="20"/>
                <w:szCs w:val="20"/>
                <w:lang w:val="en-US"/>
              </w:rPr>
              <w:t>11</w:t>
            </w:r>
            <w:r w:rsidRPr="00614B75">
              <w:rPr>
                <w:rFonts w:ascii="Arial" w:hAnsi="Arial" w:cs="Arial"/>
                <w:i/>
                <w:color w:val="auto"/>
                <w:sz w:val="20"/>
                <w:szCs w:val="20"/>
              </w:rPr>
              <w:t xml:space="preserve"> tháng 0</w:t>
            </w:r>
            <w:r>
              <w:rPr>
                <w:rFonts w:ascii="Arial" w:hAnsi="Arial" w:cs="Arial"/>
                <w:i/>
                <w:color w:val="auto"/>
                <w:sz w:val="20"/>
                <w:szCs w:val="20"/>
                <w:lang w:val="en-US"/>
              </w:rPr>
              <w:t>3</w:t>
            </w:r>
            <w:r w:rsidRPr="00614B75">
              <w:rPr>
                <w:rFonts w:ascii="Arial" w:hAnsi="Arial" w:cs="Arial"/>
                <w:i/>
                <w:color w:val="auto"/>
                <w:sz w:val="20"/>
                <w:szCs w:val="20"/>
              </w:rPr>
              <w:t xml:space="preserve"> năm 2025</w:t>
            </w:r>
          </w:p>
        </w:tc>
      </w:tr>
      <w:tr w:rsidR="00B03515" w:rsidRPr="001C31C1" w:rsidTr="001A5E7E">
        <w:trPr>
          <w:gridBefore w:val="1"/>
          <w:gridAfter w:val="1"/>
          <w:wBefore w:w="225" w:type="dxa"/>
          <w:wAfter w:w="565" w:type="dxa"/>
        </w:trPr>
        <w:tc>
          <w:tcPr>
            <w:tcW w:w="3798" w:type="dxa"/>
          </w:tcPr>
          <w:p w:rsidR="00B03515" w:rsidRPr="001C31C1" w:rsidRDefault="00B03515" w:rsidP="001A5E7E">
            <w:pPr>
              <w:pStyle w:val="Vnbnnidung0"/>
              <w:spacing w:after="120"/>
              <w:ind w:firstLine="284"/>
              <w:jc w:val="center"/>
              <w:rPr>
                <w:rFonts w:ascii="Arial" w:hAnsi="Arial" w:cs="Arial"/>
                <w:i/>
                <w:iCs/>
                <w:color w:val="auto"/>
                <w:sz w:val="20"/>
                <w:szCs w:val="20"/>
              </w:rPr>
            </w:pPr>
            <w:r w:rsidRPr="001C31C1">
              <w:rPr>
                <w:rFonts w:ascii="Arial" w:hAnsi="Arial" w:cs="Arial"/>
                <w:color w:val="auto"/>
                <w:sz w:val="20"/>
                <w:szCs w:val="20"/>
              </w:rPr>
              <w:t>Kính gửi:</w:t>
            </w:r>
            <w:bookmarkStart w:id="0" w:name="_GoBack"/>
            <w:bookmarkEnd w:id="0"/>
          </w:p>
        </w:tc>
        <w:tc>
          <w:tcPr>
            <w:tcW w:w="5198" w:type="dxa"/>
            <w:gridSpan w:val="2"/>
          </w:tcPr>
          <w:p w:rsidR="00B03515" w:rsidRPr="002067C9" w:rsidRDefault="00B03515" w:rsidP="00B03515">
            <w:pPr>
              <w:pStyle w:val="Vnbnnidung0"/>
              <w:ind w:firstLine="0"/>
              <w:rPr>
                <w:rFonts w:ascii="Arial" w:hAnsi="Arial" w:cs="Arial"/>
                <w:sz w:val="20"/>
                <w:szCs w:val="20"/>
              </w:rPr>
            </w:pPr>
            <w:r w:rsidRPr="002067C9">
              <w:rPr>
                <w:rFonts w:ascii="Arial" w:hAnsi="Arial" w:cs="Arial"/>
                <w:sz w:val="20"/>
                <w:szCs w:val="20"/>
              </w:rPr>
              <w:t>Các đơn vị sự nghiệp công lập trong lĩnh vực giáo dục</w:t>
            </w:r>
          </w:p>
          <w:p w:rsidR="00B03515" w:rsidRPr="001C31C1" w:rsidRDefault="00B03515" w:rsidP="00B03515">
            <w:pPr>
              <w:rPr>
                <w:rFonts w:ascii="Arial" w:hAnsi="Arial" w:cs="Arial"/>
                <w:iCs/>
                <w:color w:val="auto"/>
                <w:sz w:val="20"/>
                <w:szCs w:val="20"/>
              </w:rPr>
            </w:pPr>
            <w:r w:rsidRPr="002067C9">
              <w:rPr>
                <w:rFonts w:ascii="Arial" w:hAnsi="Arial" w:cs="Arial"/>
                <w:sz w:val="20"/>
                <w:szCs w:val="20"/>
              </w:rPr>
              <w:t>và đào tạo trên địa bàn tỉnh.</w:t>
            </w:r>
          </w:p>
        </w:tc>
      </w:tr>
    </w:tbl>
    <w:p w:rsidR="00BD0D8D" w:rsidRPr="002067C9" w:rsidRDefault="00C91184" w:rsidP="00B03515">
      <w:pPr>
        <w:pStyle w:val="Vnbnnidung0"/>
        <w:spacing w:after="120"/>
        <w:ind w:firstLine="284"/>
        <w:rPr>
          <w:rFonts w:ascii="Arial" w:hAnsi="Arial" w:cs="Arial"/>
          <w:sz w:val="20"/>
          <w:szCs w:val="20"/>
        </w:rPr>
      </w:pPr>
      <w:r w:rsidRPr="002067C9">
        <w:rPr>
          <w:rFonts w:ascii="Arial" w:hAnsi="Arial" w:cs="Arial"/>
          <w:sz w:val="20"/>
          <w:szCs w:val="20"/>
        </w:rPr>
        <w:t>Thực hiện công văn số 703/TCT-KK ngày 18/02/2025 của Tổng cục Thuế về việc tăng cường công tác quản lý thuế đối với lĩnh vực giáo dục. Nhằm nâng cao hiệu quả quản lý thuế đối với người nộp thuế (NNT) ho</w:t>
      </w:r>
      <w:r w:rsidRPr="002067C9">
        <w:rPr>
          <w:rFonts w:ascii="Arial" w:hAnsi="Arial" w:cs="Arial"/>
          <w:sz w:val="20"/>
          <w:szCs w:val="20"/>
        </w:rPr>
        <w:t>ạt động trong lĩnh vực giáo dục, đảm bảo NNT thực hiện kê khai, nộp thuế đầy đủ theo quy định của pháp luật, quyết toán nghĩa vụ thuế trong kỳ tính thuế năm 2024 và các năm tiếp theo. Cục Thuế tỉnh Cao Bằng triển khai một số chính sách hướng dẫn về kê khai</w:t>
      </w:r>
      <w:r w:rsidRPr="002067C9">
        <w:rPr>
          <w:rFonts w:ascii="Arial" w:hAnsi="Arial" w:cs="Arial"/>
          <w:sz w:val="20"/>
          <w:szCs w:val="20"/>
        </w:rPr>
        <w:t xml:space="preserve"> nộp thuế đến các cơ sở giáo dục và đào tạo trên địa bàn, cụ thể như sau:</w:t>
      </w:r>
    </w:p>
    <w:p w:rsidR="00BD0D8D" w:rsidRPr="002067C9" w:rsidRDefault="00B03515" w:rsidP="00B03515">
      <w:pPr>
        <w:pStyle w:val="Tiu10"/>
        <w:keepNext/>
        <w:keepLines/>
        <w:tabs>
          <w:tab w:val="left" w:pos="1133"/>
        </w:tabs>
        <w:spacing w:after="120"/>
        <w:ind w:firstLine="284"/>
        <w:outlineLvl w:val="9"/>
        <w:rPr>
          <w:rFonts w:ascii="Arial" w:hAnsi="Arial" w:cs="Arial"/>
          <w:sz w:val="20"/>
          <w:szCs w:val="20"/>
        </w:rPr>
      </w:pPr>
      <w:bookmarkStart w:id="1" w:name="bookmark2"/>
      <w:bookmarkStart w:id="2" w:name="bookmark3"/>
      <w:bookmarkEnd w:id="1"/>
      <w:r>
        <w:rPr>
          <w:rFonts w:ascii="Arial" w:hAnsi="Arial" w:cs="Arial"/>
          <w:sz w:val="20"/>
          <w:szCs w:val="20"/>
          <w:lang w:val="en-US"/>
        </w:rPr>
        <w:t xml:space="preserve">1. </w:t>
      </w:r>
      <w:r w:rsidR="00C91184" w:rsidRPr="002067C9">
        <w:rPr>
          <w:rFonts w:ascii="Arial" w:hAnsi="Arial" w:cs="Arial"/>
          <w:sz w:val="20"/>
          <w:szCs w:val="20"/>
        </w:rPr>
        <w:t>Chính sách quy định về thuế TNDN đối với CSGD:</w:t>
      </w:r>
      <w:bookmarkEnd w:id="2"/>
    </w:p>
    <w:p w:rsidR="00BD0D8D" w:rsidRPr="002067C9" w:rsidRDefault="00B03515" w:rsidP="00B03515">
      <w:pPr>
        <w:pStyle w:val="Tiu10"/>
        <w:keepNext/>
        <w:keepLines/>
        <w:tabs>
          <w:tab w:val="left" w:pos="1239"/>
        </w:tabs>
        <w:spacing w:after="120"/>
        <w:ind w:firstLine="284"/>
        <w:outlineLvl w:val="9"/>
        <w:rPr>
          <w:rFonts w:ascii="Arial" w:hAnsi="Arial" w:cs="Arial"/>
          <w:sz w:val="20"/>
          <w:szCs w:val="20"/>
        </w:rPr>
      </w:pPr>
      <w:bookmarkStart w:id="3" w:name="bookmark4"/>
      <w:bookmarkStart w:id="4" w:name="bookmark0"/>
      <w:bookmarkStart w:id="5" w:name="bookmark1"/>
      <w:bookmarkStart w:id="6" w:name="bookmark5"/>
      <w:bookmarkEnd w:id="3"/>
      <w:r>
        <w:rPr>
          <w:rFonts w:ascii="Arial" w:hAnsi="Arial" w:cs="Arial"/>
          <w:sz w:val="20"/>
          <w:szCs w:val="20"/>
          <w:lang w:val="en-US"/>
        </w:rPr>
        <w:t xml:space="preserve">1.1. </w:t>
      </w:r>
      <w:r w:rsidR="00C91184" w:rsidRPr="002067C9">
        <w:rPr>
          <w:rFonts w:ascii="Arial" w:hAnsi="Arial" w:cs="Arial"/>
          <w:sz w:val="20"/>
          <w:szCs w:val="20"/>
        </w:rPr>
        <w:t>Đối tượng chịu thuế TNDN:</w:t>
      </w:r>
      <w:bookmarkEnd w:id="4"/>
      <w:bookmarkEnd w:id="5"/>
      <w:bookmarkEnd w:id="6"/>
    </w:p>
    <w:p w:rsidR="00BD0D8D" w:rsidRPr="002067C9" w:rsidRDefault="00C91184" w:rsidP="00B03515">
      <w:pPr>
        <w:pStyle w:val="Vnbnnidung0"/>
        <w:spacing w:after="120"/>
        <w:ind w:firstLine="284"/>
        <w:rPr>
          <w:rFonts w:ascii="Arial" w:hAnsi="Arial" w:cs="Arial"/>
          <w:sz w:val="20"/>
          <w:szCs w:val="20"/>
        </w:rPr>
      </w:pPr>
      <w:r w:rsidRPr="002067C9">
        <w:rPr>
          <w:rFonts w:ascii="Arial" w:hAnsi="Arial" w:cs="Arial"/>
          <w:sz w:val="20"/>
          <w:szCs w:val="20"/>
        </w:rPr>
        <w:t xml:space="preserve">Tại điểm d Khoản 1 Điều 2 và Khoản 1 Điều 3 Luật thuế thu nhập doanh nghiệp số 14/2008/QH12 ngày 03/6/2008 </w:t>
      </w:r>
      <w:r w:rsidRPr="002067C9">
        <w:rPr>
          <w:rFonts w:ascii="Arial" w:hAnsi="Arial" w:cs="Arial"/>
          <w:sz w:val="20"/>
          <w:szCs w:val="20"/>
        </w:rPr>
        <w:t>quy định:</w:t>
      </w:r>
    </w:p>
    <w:p w:rsidR="00BD0D8D" w:rsidRPr="002067C9" w:rsidRDefault="00C91184" w:rsidP="00B03515">
      <w:pPr>
        <w:pStyle w:val="Vnbnnidung0"/>
        <w:spacing w:after="120"/>
        <w:ind w:firstLine="284"/>
        <w:rPr>
          <w:rFonts w:ascii="Arial" w:hAnsi="Arial" w:cs="Arial"/>
          <w:sz w:val="20"/>
          <w:szCs w:val="20"/>
        </w:rPr>
      </w:pPr>
      <w:r w:rsidRPr="002067C9">
        <w:rPr>
          <w:rFonts w:ascii="Arial" w:hAnsi="Arial" w:cs="Arial"/>
          <w:i/>
          <w:iCs/>
          <w:sz w:val="20"/>
          <w:szCs w:val="20"/>
        </w:rPr>
        <w:t>“Điều 2. Người nộp thuế</w:t>
      </w:r>
    </w:p>
    <w:p w:rsidR="00BD0D8D" w:rsidRPr="002067C9" w:rsidRDefault="00C91184" w:rsidP="00B03515">
      <w:pPr>
        <w:pStyle w:val="Vnbnnidung0"/>
        <w:spacing w:after="120"/>
        <w:ind w:firstLine="284"/>
        <w:rPr>
          <w:rFonts w:ascii="Arial" w:hAnsi="Arial" w:cs="Arial"/>
          <w:sz w:val="20"/>
          <w:szCs w:val="20"/>
        </w:rPr>
      </w:pPr>
      <w:r w:rsidRPr="002067C9">
        <w:rPr>
          <w:rFonts w:ascii="Arial" w:hAnsi="Arial" w:cs="Arial"/>
          <w:i/>
          <w:iCs/>
          <w:sz w:val="20"/>
          <w:szCs w:val="20"/>
        </w:rPr>
        <w:t>1. Người nộp thuế thu nhập doanh nghiệp là tổ chức hoạt động sản xuất, kinh doanh hàng hóa, dịch vụ có thu nhập chịu thuế theo quy định của Luật này (sau đây gọi là doanh nghiệp), bao gồm:</w:t>
      </w:r>
    </w:p>
    <w:p w:rsidR="00BD0D8D" w:rsidRPr="002067C9" w:rsidRDefault="00C91184" w:rsidP="00B03515">
      <w:pPr>
        <w:pStyle w:val="Vnbnnidung0"/>
        <w:spacing w:after="120"/>
        <w:ind w:firstLine="284"/>
        <w:rPr>
          <w:rFonts w:ascii="Arial" w:hAnsi="Arial" w:cs="Arial"/>
          <w:sz w:val="20"/>
          <w:szCs w:val="20"/>
        </w:rPr>
      </w:pPr>
      <w:r w:rsidRPr="002067C9">
        <w:rPr>
          <w:rFonts w:ascii="Arial" w:hAnsi="Arial" w:cs="Arial"/>
          <w:i/>
          <w:iCs/>
          <w:sz w:val="20"/>
          <w:szCs w:val="20"/>
        </w:rPr>
        <w:t>...d) Đơn vị sự nghiệp được thành</w:t>
      </w:r>
      <w:r w:rsidRPr="002067C9">
        <w:rPr>
          <w:rFonts w:ascii="Arial" w:hAnsi="Arial" w:cs="Arial"/>
          <w:i/>
          <w:iCs/>
          <w:sz w:val="20"/>
          <w:szCs w:val="20"/>
        </w:rPr>
        <w:t xml:space="preserve"> lập theo quy định của pháp luật Việt Nam...</w:t>
      </w:r>
    </w:p>
    <w:p w:rsidR="00BD0D8D" w:rsidRPr="002067C9" w:rsidRDefault="00C91184" w:rsidP="00B03515">
      <w:pPr>
        <w:pStyle w:val="Vnbnnidung0"/>
        <w:spacing w:after="120"/>
        <w:ind w:firstLine="284"/>
        <w:rPr>
          <w:rFonts w:ascii="Arial" w:hAnsi="Arial" w:cs="Arial"/>
          <w:sz w:val="20"/>
          <w:szCs w:val="20"/>
        </w:rPr>
      </w:pPr>
      <w:r w:rsidRPr="002067C9">
        <w:rPr>
          <w:rFonts w:ascii="Arial" w:hAnsi="Arial" w:cs="Arial"/>
          <w:i/>
          <w:iCs/>
          <w:sz w:val="20"/>
          <w:szCs w:val="20"/>
        </w:rPr>
        <w:t>Điều 3. Thu nhập chịu thuế</w:t>
      </w:r>
    </w:p>
    <w:p w:rsidR="00BD0D8D" w:rsidRPr="002067C9" w:rsidRDefault="00C91184" w:rsidP="00B03515">
      <w:pPr>
        <w:pStyle w:val="Vnbnnidung0"/>
        <w:spacing w:after="120"/>
        <w:ind w:firstLine="284"/>
        <w:rPr>
          <w:rFonts w:ascii="Arial" w:hAnsi="Arial" w:cs="Arial"/>
          <w:sz w:val="20"/>
          <w:szCs w:val="20"/>
        </w:rPr>
      </w:pPr>
      <w:r w:rsidRPr="002067C9">
        <w:rPr>
          <w:rFonts w:ascii="Arial" w:hAnsi="Arial" w:cs="Arial"/>
          <w:i/>
          <w:iCs/>
          <w:sz w:val="20"/>
          <w:szCs w:val="20"/>
        </w:rPr>
        <w:t>1. Thu nhập chịu thuế bao gồm thu nhập từ hoạt động sản xuất, kinh doanh hàng hóa, dịch vụ và thu nhập khác quy định tại khoản 2 Điều này.”</w:t>
      </w:r>
    </w:p>
    <w:p w:rsidR="00BD0D8D" w:rsidRPr="002067C9" w:rsidRDefault="00C91184" w:rsidP="00B03515">
      <w:pPr>
        <w:pStyle w:val="Vnbnnidung0"/>
        <w:spacing w:after="120"/>
        <w:ind w:firstLine="284"/>
        <w:rPr>
          <w:rFonts w:ascii="Arial" w:hAnsi="Arial" w:cs="Arial"/>
          <w:sz w:val="20"/>
          <w:szCs w:val="20"/>
        </w:rPr>
      </w:pPr>
      <w:r w:rsidRPr="002067C9">
        <w:rPr>
          <w:rFonts w:ascii="Arial" w:hAnsi="Arial" w:cs="Arial"/>
          <w:b/>
          <w:bCs/>
          <w:sz w:val="20"/>
          <w:szCs w:val="20"/>
        </w:rPr>
        <w:t>Một số quy định về giá dịch vụ đào tạo như s</w:t>
      </w:r>
      <w:r w:rsidRPr="002067C9">
        <w:rPr>
          <w:rFonts w:ascii="Arial" w:hAnsi="Arial" w:cs="Arial"/>
          <w:b/>
          <w:bCs/>
          <w:sz w:val="20"/>
          <w:szCs w:val="20"/>
        </w:rPr>
        <w:t>au:</w:t>
      </w:r>
    </w:p>
    <w:p w:rsidR="00BD0D8D" w:rsidRPr="002067C9" w:rsidRDefault="00C91184" w:rsidP="00B03515">
      <w:pPr>
        <w:pStyle w:val="Vnbnnidung0"/>
        <w:spacing w:after="120"/>
        <w:ind w:firstLine="284"/>
        <w:rPr>
          <w:rFonts w:ascii="Arial" w:hAnsi="Arial" w:cs="Arial"/>
          <w:sz w:val="20"/>
          <w:szCs w:val="20"/>
        </w:rPr>
      </w:pPr>
      <w:r w:rsidRPr="002067C9">
        <w:rPr>
          <w:rFonts w:ascii="Arial" w:hAnsi="Arial" w:cs="Arial"/>
          <w:sz w:val="20"/>
          <w:szCs w:val="20"/>
        </w:rPr>
        <w:t xml:space="preserve">- Tại khoản 3 Điều 19 Luật Giá số 11/2012/QH13 ngày 20/6/2012 (hiệu lực từ ngày 01/01/2013) quy định: </w:t>
      </w:r>
      <w:r w:rsidRPr="002067C9">
        <w:rPr>
          <w:rFonts w:ascii="Arial" w:hAnsi="Arial" w:cs="Arial"/>
          <w:i/>
          <w:iCs/>
          <w:sz w:val="20"/>
          <w:szCs w:val="20"/>
        </w:rPr>
        <w:t>“Điều 19. Hàng hóa, dịch vụ do Nhà nước định giá:</w:t>
      </w:r>
    </w:p>
    <w:p w:rsidR="00BD0D8D" w:rsidRPr="002067C9" w:rsidRDefault="00C91184" w:rsidP="00B03515">
      <w:pPr>
        <w:pStyle w:val="Vnbnnidung0"/>
        <w:spacing w:after="120"/>
        <w:ind w:firstLine="284"/>
        <w:rPr>
          <w:rFonts w:ascii="Arial" w:hAnsi="Arial" w:cs="Arial"/>
          <w:sz w:val="20"/>
          <w:szCs w:val="20"/>
        </w:rPr>
      </w:pPr>
      <w:r w:rsidRPr="002067C9">
        <w:rPr>
          <w:rFonts w:ascii="Arial" w:hAnsi="Arial" w:cs="Arial"/>
          <w:i/>
          <w:iCs/>
          <w:sz w:val="20"/>
          <w:szCs w:val="20"/>
        </w:rPr>
        <w:t>...3. Danh mục hàng hóa, dịch vụ do Nhà nước định giá được quy định như sau:</w:t>
      </w:r>
    </w:p>
    <w:p w:rsidR="00BD0D8D" w:rsidRPr="002067C9" w:rsidRDefault="00C91184" w:rsidP="00B03515">
      <w:pPr>
        <w:pStyle w:val="Vnbnnidung0"/>
        <w:spacing w:after="120"/>
        <w:ind w:firstLine="284"/>
        <w:rPr>
          <w:rFonts w:ascii="Arial" w:hAnsi="Arial" w:cs="Arial"/>
          <w:sz w:val="20"/>
          <w:szCs w:val="20"/>
        </w:rPr>
      </w:pPr>
      <w:r w:rsidRPr="002067C9">
        <w:rPr>
          <w:rFonts w:ascii="Arial" w:hAnsi="Arial" w:cs="Arial"/>
          <w:i/>
          <w:iCs/>
          <w:sz w:val="20"/>
          <w:szCs w:val="20"/>
        </w:rPr>
        <w:t>...c) Định khung giá và</w:t>
      </w:r>
      <w:r w:rsidRPr="002067C9">
        <w:rPr>
          <w:rFonts w:ascii="Arial" w:hAnsi="Arial" w:cs="Arial"/>
          <w:i/>
          <w:iCs/>
          <w:sz w:val="20"/>
          <w:szCs w:val="20"/>
        </w:rPr>
        <w:t xml:space="preserve"> mức giá cụ thể đối với:</w:t>
      </w:r>
    </w:p>
    <w:p w:rsidR="00BD0D8D" w:rsidRPr="002067C9" w:rsidRDefault="00C91184" w:rsidP="00B03515">
      <w:pPr>
        <w:pStyle w:val="Vnbnnidung0"/>
        <w:spacing w:after="120"/>
        <w:ind w:firstLine="284"/>
        <w:rPr>
          <w:rFonts w:ascii="Arial" w:hAnsi="Arial" w:cs="Arial"/>
          <w:sz w:val="20"/>
          <w:szCs w:val="20"/>
        </w:rPr>
      </w:pPr>
      <w:r w:rsidRPr="002067C9">
        <w:rPr>
          <w:rFonts w:ascii="Arial" w:hAnsi="Arial" w:cs="Arial"/>
          <w:i/>
          <w:iCs/>
          <w:sz w:val="20"/>
          <w:szCs w:val="20"/>
        </w:rPr>
        <w:t>...- Dịch vụ khám bệnh, chữa bệnh và dịch vụ giáo dục, đào tạo tại cơ sở khám bệnh, chữa bệnh, cơ sở giáo dục, đào tạo của Nhà nước;”</w:t>
      </w:r>
    </w:p>
    <w:p w:rsidR="00BD0D8D" w:rsidRPr="002067C9" w:rsidRDefault="00C91184" w:rsidP="00B03515">
      <w:pPr>
        <w:pStyle w:val="Vnbnnidung0"/>
        <w:numPr>
          <w:ilvl w:val="0"/>
          <w:numId w:val="2"/>
        </w:numPr>
        <w:tabs>
          <w:tab w:val="left" w:pos="992"/>
        </w:tabs>
        <w:spacing w:after="120"/>
        <w:ind w:firstLine="284"/>
        <w:rPr>
          <w:rFonts w:ascii="Arial" w:hAnsi="Arial" w:cs="Arial"/>
          <w:sz w:val="20"/>
          <w:szCs w:val="20"/>
        </w:rPr>
      </w:pPr>
      <w:bookmarkStart w:id="7" w:name="bookmark6"/>
      <w:bookmarkEnd w:id="7"/>
      <w:r w:rsidRPr="002067C9">
        <w:rPr>
          <w:rFonts w:ascii="Arial" w:hAnsi="Arial" w:cs="Arial"/>
          <w:sz w:val="20"/>
          <w:szCs w:val="20"/>
        </w:rPr>
        <w:t>Căn cứ 'Khoản 1, Điều 30 Nghị định số 60/2021/NĐ-CP ngày 21/6/2021 quy định cơ chế tự chủ tài chí</w:t>
      </w:r>
      <w:r w:rsidRPr="002067C9">
        <w:rPr>
          <w:rFonts w:ascii="Arial" w:hAnsi="Arial" w:cs="Arial"/>
          <w:sz w:val="20"/>
          <w:szCs w:val="20"/>
        </w:rPr>
        <w:t>nh của đơn vị sự nghiệp công lập:</w:t>
      </w:r>
    </w:p>
    <w:p w:rsidR="00BD0D8D" w:rsidRPr="002067C9" w:rsidRDefault="00C91184" w:rsidP="00B03515">
      <w:pPr>
        <w:pStyle w:val="Vnbnnidung0"/>
        <w:spacing w:after="120"/>
        <w:ind w:firstLine="284"/>
        <w:rPr>
          <w:rFonts w:ascii="Arial" w:hAnsi="Arial" w:cs="Arial"/>
          <w:sz w:val="20"/>
          <w:szCs w:val="20"/>
        </w:rPr>
      </w:pPr>
      <w:r w:rsidRPr="002067C9">
        <w:rPr>
          <w:rFonts w:ascii="Arial" w:hAnsi="Arial" w:cs="Arial"/>
          <w:i/>
          <w:iCs/>
          <w:sz w:val="20"/>
          <w:szCs w:val="20"/>
        </w:rPr>
        <w:t>“1. Nguồn tài chính</w:t>
      </w:r>
    </w:p>
    <w:p w:rsidR="00BD0D8D" w:rsidRPr="002067C9" w:rsidRDefault="00B03515" w:rsidP="00B03515">
      <w:pPr>
        <w:pStyle w:val="Vnbnnidung0"/>
        <w:tabs>
          <w:tab w:val="left" w:pos="1012"/>
        </w:tabs>
        <w:spacing w:after="120"/>
        <w:ind w:firstLine="284"/>
        <w:rPr>
          <w:rFonts w:ascii="Arial" w:hAnsi="Arial" w:cs="Arial"/>
          <w:sz w:val="20"/>
          <w:szCs w:val="20"/>
        </w:rPr>
      </w:pPr>
      <w:bookmarkStart w:id="8" w:name="bookmark7"/>
      <w:bookmarkEnd w:id="8"/>
      <w:r>
        <w:rPr>
          <w:rFonts w:ascii="Arial" w:hAnsi="Arial" w:cs="Arial"/>
          <w:i/>
          <w:iCs/>
          <w:sz w:val="20"/>
          <w:szCs w:val="20"/>
          <w:lang w:val="en-US"/>
        </w:rPr>
        <w:t xml:space="preserve">- </w:t>
      </w:r>
      <w:r w:rsidR="00C91184" w:rsidRPr="002067C9">
        <w:rPr>
          <w:rFonts w:ascii="Arial" w:hAnsi="Arial" w:cs="Arial"/>
          <w:i/>
          <w:iCs/>
          <w:sz w:val="20"/>
          <w:szCs w:val="20"/>
        </w:rPr>
        <w:t>Nguồn từ ngân sách nhà nước cấp kinh phí</w:t>
      </w:r>
    </w:p>
    <w:p w:rsidR="00BD0D8D" w:rsidRPr="002067C9" w:rsidRDefault="00B03515" w:rsidP="00B03515">
      <w:pPr>
        <w:pStyle w:val="Vnbnnidung0"/>
        <w:tabs>
          <w:tab w:val="left" w:pos="1012"/>
        </w:tabs>
        <w:spacing w:after="120"/>
        <w:ind w:firstLine="284"/>
        <w:rPr>
          <w:rFonts w:ascii="Arial" w:hAnsi="Arial" w:cs="Arial"/>
          <w:sz w:val="20"/>
          <w:szCs w:val="20"/>
        </w:rPr>
      </w:pPr>
      <w:bookmarkStart w:id="9" w:name="bookmark8"/>
      <w:bookmarkEnd w:id="9"/>
      <w:r>
        <w:rPr>
          <w:rFonts w:ascii="Arial" w:hAnsi="Arial" w:cs="Arial"/>
          <w:i/>
          <w:iCs/>
          <w:sz w:val="20"/>
          <w:szCs w:val="20"/>
          <w:lang w:val="en-US"/>
        </w:rPr>
        <w:t xml:space="preserve">- </w:t>
      </w:r>
      <w:r w:rsidR="00C91184" w:rsidRPr="002067C9">
        <w:rPr>
          <w:rFonts w:ascii="Arial" w:hAnsi="Arial" w:cs="Arial"/>
          <w:i/>
          <w:iCs/>
          <w:sz w:val="20"/>
          <w:szCs w:val="20"/>
        </w:rPr>
        <w:t>Nguồn từ thu học phí;</w:t>
      </w:r>
    </w:p>
    <w:p w:rsidR="00BD0D8D" w:rsidRPr="002067C9" w:rsidRDefault="00B03515" w:rsidP="00B03515">
      <w:pPr>
        <w:pStyle w:val="Vnbnnidung0"/>
        <w:tabs>
          <w:tab w:val="left" w:pos="992"/>
        </w:tabs>
        <w:spacing w:after="120"/>
        <w:ind w:firstLine="284"/>
        <w:rPr>
          <w:rFonts w:ascii="Arial" w:hAnsi="Arial" w:cs="Arial"/>
          <w:sz w:val="20"/>
          <w:szCs w:val="20"/>
        </w:rPr>
      </w:pPr>
      <w:bookmarkStart w:id="10" w:name="bookmark9"/>
      <w:bookmarkEnd w:id="10"/>
      <w:r>
        <w:rPr>
          <w:rFonts w:ascii="Arial" w:hAnsi="Arial" w:cs="Arial"/>
          <w:i/>
          <w:iCs/>
          <w:sz w:val="20"/>
          <w:szCs w:val="20"/>
          <w:lang w:val="en-US"/>
        </w:rPr>
        <w:t xml:space="preserve">- </w:t>
      </w:r>
      <w:r w:rsidR="00C91184" w:rsidRPr="002067C9">
        <w:rPr>
          <w:rFonts w:ascii="Arial" w:hAnsi="Arial" w:cs="Arial"/>
          <w:i/>
          <w:iCs/>
          <w:sz w:val="20"/>
          <w:szCs w:val="20"/>
        </w:rPr>
        <w:t xml:space="preserve">Nguồn thu từ hoạt động sản xuất, kinh doanh dịch vụ khác: Thu từ dịch vụ nội trú, hoạt động SX, NCKH, liên kết đào tạo, cho thuê mặt bằng, </w:t>
      </w:r>
      <w:r w:rsidR="00C91184" w:rsidRPr="002067C9">
        <w:rPr>
          <w:rFonts w:ascii="Arial" w:hAnsi="Arial" w:cs="Arial"/>
          <w:i/>
          <w:iCs/>
          <w:sz w:val="20"/>
          <w:szCs w:val="20"/>
        </w:rPr>
        <w:t>bán giáo trình, thu lãi tiền gửi, thanh lý tài sản ...”</w:t>
      </w:r>
    </w:p>
    <w:p w:rsidR="00BD0D8D" w:rsidRPr="002067C9" w:rsidRDefault="00B03515" w:rsidP="00B03515">
      <w:pPr>
        <w:pStyle w:val="Vnbnnidung0"/>
        <w:tabs>
          <w:tab w:val="left" w:pos="997"/>
        </w:tabs>
        <w:spacing w:after="120"/>
        <w:ind w:firstLine="284"/>
        <w:rPr>
          <w:rFonts w:ascii="Arial" w:hAnsi="Arial" w:cs="Arial"/>
          <w:sz w:val="20"/>
          <w:szCs w:val="20"/>
        </w:rPr>
      </w:pPr>
      <w:bookmarkStart w:id="11" w:name="bookmark10"/>
      <w:bookmarkEnd w:id="11"/>
      <w:r>
        <w:rPr>
          <w:rFonts w:ascii="Arial" w:hAnsi="Arial" w:cs="Arial"/>
          <w:sz w:val="20"/>
          <w:szCs w:val="20"/>
          <w:lang w:val="en-US"/>
        </w:rPr>
        <w:t xml:space="preserve">- </w:t>
      </w:r>
      <w:r w:rsidR="00C91184" w:rsidRPr="002067C9">
        <w:rPr>
          <w:rFonts w:ascii="Arial" w:hAnsi="Arial" w:cs="Arial"/>
          <w:sz w:val="20"/>
          <w:szCs w:val="20"/>
        </w:rPr>
        <w:t xml:space="preserve">Căn cứ khoản 1 Điều 3 Nghị định số 81/2021/NĐ-CP ngày 27/8/2021 của Chính phủ quy định: </w:t>
      </w:r>
      <w:r w:rsidR="00C91184" w:rsidRPr="002067C9">
        <w:rPr>
          <w:rFonts w:ascii="Arial" w:hAnsi="Arial" w:cs="Arial"/>
          <w:i/>
          <w:iCs/>
          <w:sz w:val="20"/>
          <w:szCs w:val="20"/>
        </w:rPr>
        <w:t>“1. Giá dịch vụ trong lĩnh vực giáo dục, đào tạo là số tiền người sử dụng dịch vụ phải trả cho từng dịch vụ tron</w:t>
      </w:r>
      <w:r w:rsidR="00C91184" w:rsidRPr="002067C9">
        <w:rPr>
          <w:rFonts w:ascii="Arial" w:hAnsi="Arial" w:cs="Arial"/>
          <w:i/>
          <w:iCs/>
          <w:sz w:val="20"/>
          <w:szCs w:val="20"/>
        </w:rPr>
        <w:t>g lĩnh vực giáo dục, đào tạo và giáo dục nghề nghiệp, bao gồm: học phí (theo các cấp học và trình độ đào tạo) và giá các dịch vụ khác trong lĩnh vực giáo dục, đào tạo ...”</w:t>
      </w:r>
    </w:p>
    <w:p w:rsidR="00BD0D8D" w:rsidRPr="002067C9" w:rsidRDefault="00C91184" w:rsidP="00B03515">
      <w:pPr>
        <w:pStyle w:val="Vnbnnidung0"/>
        <w:spacing w:after="120"/>
        <w:ind w:firstLine="284"/>
        <w:rPr>
          <w:rFonts w:ascii="Arial" w:hAnsi="Arial" w:cs="Arial"/>
          <w:sz w:val="20"/>
          <w:szCs w:val="20"/>
        </w:rPr>
      </w:pPr>
      <w:r w:rsidRPr="002067C9">
        <w:rPr>
          <w:rFonts w:ascii="Arial" w:hAnsi="Arial" w:cs="Arial"/>
          <w:sz w:val="20"/>
          <w:szCs w:val="20"/>
        </w:rPr>
        <w:t xml:space="preserve">Căn cứ Điều 99, Luật giáo dục số 43/2019/QH14 ngày 14/6/2019 quy định: </w:t>
      </w:r>
      <w:r w:rsidRPr="002067C9">
        <w:rPr>
          <w:rFonts w:ascii="Arial" w:hAnsi="Arial" w:cs="Arial"/>
          <w:i/>
          <w:iCs/>
          <w:sz w:val="20"/>
          <w:szCs w:val="20"/>
        </w:rPr>
        <w:t>“Học phí là k</w:t>
      </w:r>
      <w:r w:rsidRPr="002067C9">
        <w:rPr>
          <w:rFonts w:ascii="Arial" w:hAnsi="Arial" w:cs="Arial"/>
          <w:i/>
          <w:iCs/>
          <w:sz w:val="20"/>
          <w:szCs w:val="20"/>
        </w:rPr>
        <w:t>hoản tiền người học phải nộp để chi trả một phần hoặc toàn bộ chi phí của dịch vụ giáo dục, đào tạo”.</w:t>
      </w:r>
    </w:p>
    <w:p w:rsidR="00BD0D8D" w:rsidRPr="002067C9" w:rsidRDefault="00C91184" w:rsidP="00B03515">
      <w:pPr>
        <w:pStyle w:val="Vnbnnidung0"/>
        <w:numPr>
          <w:ilvl w:val="0"/>
          <w:numId w:val="2"/>
        </w:numPr>
        <w:tabs>
          <w:tab w:val="left" w:pos="992"/>
        </w:tabs>
        <w:spacing w:after="120"/>
        <w:ind w:firstLine="284"/>
        <w:rPr>
          <w:rFonts w:ascii="Arial" w:hAnsi="Arial" w:cs="Arial"/>
          <w:sz w:val="20"/>
          <w:szCs w:val="20"/>
        </w:rPr>
      </w:pPr>
      <w:bookmarkStart w:id="12" w:name="bookmark11"/>
      <w:bookmarkEnd w:id="12"/>
      <w:r w:rsidRPr="002067C9">
        <w:rPr>
          <w:rFonts w:ascii="Arial" w:hAnsi="Arial" w:cs="Arial"/>
          <w:sz w:val="20"/>
          <w:szCs w:val="20"/>
        </w:rPr>
        <w:t xml:space="preserve">Tại Luật phí và lệ phí số 97/2015/QH13 ngày 25/11/2015, kể từ ngày 01/01/2017, học phí </w:t>
      </w:r>
      <w:r w:rsidRPr="002067C9">
        <w:rPr>
          <w:rFonts w:ascii="Arial" w:hAnsi="Arial" w:cs="Arial"/>
          <w:sz w:val="20"/>
          <w:szCs w:val="20"/>
        </w:rPr>
        <w:lastRenderedPageBreak/>
        <w:t>không thuộc danh mục phí theo quy định.</w:t>
      </w:r>
    </w:p>
    <w:p w:rsidR="00BD0D8D" w:rsidRPr="002067C9" w:rsidRDefault="00C91184" w:rsidP="00B03515">
      <w:pPr>
        <w:pStyle w:val="Vnbnnidung0"/>
        <w:spacing w:after="120"/>
        <w:ind w:firstLine="284"/>
        <w:rPr>
          <w:rFonts w:ascii="Arial" w:hAnsi="Arial" w:cs="Arial"/>
          <w:sz w:val="20"/>
          <w:szCs w:val="20"/>
        </w:rPr>
      </w:pPr>
      <w:r w:rsidRPr="002067C9">
        <w:rPr>
          <w:rFonts w:ascii="Arial" w:hAnsi="Arial" w:cs="Arial"/>
          <w:sz w:val="20"/>
          <w:szCs w:val="20"/>
        </w:rPr>
        <w:t>Căn cứ các quy định trên, g</w:t>
      </w:r>
      <w:r w:rsidRPr="002067C9">
        <w:rPr>
          <w:rFonts w:ascii="Arial" w:hAnsi="Arial" w:cs="Arial"/>
          <w:sz w:val="20"/>
          <w:szCs w:val="20"/>
        </w:rPr>
        <w:t xml:space="preserve">iá dịch vụ trong lĩnh vực giáo dục, đào tạo </w:t>
      </w:r>
      <w:r w:rsidRPr="002067C9">
        <w:rPr>
          <w:rFonts w:ascii="Arial" w:hAnsi="Arial" w:cs="Arial"/>
          <w:b/>
          <w:bCs/>
          <w:sz w:val="20"/>
          <w:szCs w:val="20"/>
        </w:rPr>
        <w:t xml:space="preserve">(bao gồm học phí chính quy) </w:t>
      </w:r>
      <w:r w:rsidRPr="002067C9">
        <w:rPr>
          <w:rFonts w:ascii="Arial" w:hAnsi="Arial" w:cs="Arial"/>
          <w:sz w:val="20"/>
          <w:szCs w:val="20"/>
        </w:rPr>
        <w:t>thuộc đối tượng điều chỉnh của Luật thuế TNDN và các văn bản hướng dẫn thi hành.</w:t>
      </w:r>
    </w:p>
    <w:p w:rsidR="00BD0D8D" w:rsidRPr="002067C9" w:rsidRDefault="00B03515" w:rsidP="00B03515">
      <w:pPr>
        <w:pStyle w:val="Tiu10"/>
        <w:keepNext/>
        <w:keepLines/>
        <w:tabs>
          <w:tab w:val="left" w:pos="1319"/>
        </w:tabs>
        <w:spacing w:after="120"/>
        <w:ind w:firstLine="284"/>
        <w:outlineLvl w:val="9"/>
        <w:rPr>
          <w:rFonts w:ascii="Arial" w:hAnsi="Arial" w:cs="Arial"/>
          <w:sz w:val="20"/>
          <w:szCs w:val="20"/>
        </w:rPr>
      </w:pPr>
      <w:bookmarkStart w:id="13" w:name="bookmark14"/>
      <w:bookmarkStart w:id="14" w:name="bookmark12"/>
      <w:bookmarkStart w:id="15" w:name="bookmark13"/>
      <w:bookmarkStart w:id="16" w:name="bookmark15"/>
      <w:bookmarkEnd w:id="13"/>
      <w:r>
        <w:rPr>
          <w:rFonts w:ascii="Arial" w:hAnsi="Arial" w:cs="Arial"/>
          <w:sz w:val="20"/>
          <w:szCs w:val="20"/>
          <w:lang w:val="en-US"/>
        </w:rPr>
        <w:t xml:space="preserve">1.2. </w:t>
      </w:r>
      <w:r w:rsidR="00C91184" w:rsidRPr="002067C9">
        <w:rPr>
          <w:rFonts w:ascii="Arial" w:hAnsi="Arial" w:cs="Arial"/>
          <w:sz w:val="20"/>
          <w:szCs w:val="20"/>
        </w:rPr>
        <w:t>Quy định về hồ sơ khai thuế TNDN đối với CSGD:</w:t>
      </w:r>
      <w:bookmarkEnd w:id="14"/>
      <w:bookmarkEnd w:id="15"/>
      <w:bookmarkEnd w:id="16"/>
    </w:p>
    <w:p w:rsidR="00BD0D8D" w:rsidRPr="002067C9" w:rsidRDefault="00C91184" w:rsidP="00B03515">
      <w:pPr>
        <w:pStyle w:val="Vnbnnidung0"/>
        <w:spacing w:after="120"/>
        <w:ind w:firstLine="284"/>
        <w:rPr>
          <w:rFonts w:ascii="Arial" w:hAnsi="Arial" w:cs="Arial"/>
          <w:sz w:val="20"/>
          <w:szCs w:val="20"/>
        </w:rPr>
      </w:pPr>
      <w:r w:rsidRPr="002067C9">
        <w:rPr>
          <w:rFonts w:ascii="Arial" w:hAnsi="Arial" w:cs="Arial"/>
          <w:sz w:val="20"/>
          <w:szCs w:val="20"/>
        </w:rPr>
        <w:t>Có 2 phương pháp kê khai thuế TNDN như sau:</w:t>
      </w:r>
    </w:p>
    <w:p w:rsidR="00BD0D8D" w:rsidRPr="002067C9" w:rsidRDefault="00C91184" w:rsidP="00B03515">
      <w:pPr>
        <w:pStyle w:val="Tiu10"/>
        <w:keepNext/>
        <w:keepLines/>
        <w:spacing w:after="120"/>
        <w:ind w:firstLine="284"/>
        <w:outlineLvl w:val="9"/>
        <w:rPr>
          <w:rFonts w:ascii="Arial" w:hAnsi="Arial" w:cs="Arial"/>
          <w:sz w:val="20"/>
          <w:szCs w:val="20"/>
        </w:rPr>
      </w:pPr>
      <w:bookmarkStart w:id="17" w:name="bookmark16"/>
      <w:bookmarkStart w:id="18" w:name="bookmark17"/>
      <w:bookmarkStart w:id="19" w:name="bookmark18"/>
      <w:r w:rsidRPr="002067C9">
        <w:rPr>
          <w:rFonts w:ascii="Arial" w:hAnsi="Arial" w:cs="Arial"/>
          <w:sz w:val="20"/>
          <w:szCs w:val="20"/>
        </w:rPr>
        <w:t xml:space="preserve">1.2.1. Kê </w:t>
      </w:r>
      <w:r w:rsidRPr="002067C9">
        <w:rPr>
          <w:rFonts w:ascii="Arial" w:hAnsi="Arial" w:cs="Arial"/>
          <w:sz w:val="20"/>
          <w:szCs w:val="20"/>
        </w:rPr>
        <w:t>khai theo phương pháp doanh thu - chi phí:</w:t>
      </w:r>
      <w:bookmarkEnd w:id="17"/>
      <w:bookmarkEnd w:id="18"/>
      <w:bookmarkEnd w:id="19"/>
    </w:p>
    <w:p w:rsidR="00BD0D8D" w:rsidRPr="002067C9" w:rsidRDefault="00B03515" w:rsidP="00B03515">
      <w:pPr>
        <w:pStyle w:val="Vnbnnidung0"/>
        <w:tabs>
          <w:tab w:val="left" w:pos="1002"/>
        </w:tabs>
        <w:spacing w:after="120"/>
        <w:ind w:firstLine="284"/>
        <w:rPr>
          <w:rFonts w:ascii="Arial" w:hAnsi="Arial" w:cs="Arial"/>
          <w:sz w:val="20"/>
          <w:szCs w:val="20"/>
        </w:rPr>
      </w:pPr>
      <w:bookmarkStart w:id="20" w:name="bookmark19"/>
      <w:bookmarkEnd w:id="20"/>
      <w:r>
        <w:rPr>
          <w:rFonts w:ascii="Arial" w:hAnsi="Arial" w:cs="Arial"/>
          <w:sz w:val="20"/>
          <w:szCs w:val="20"/>
          <w:lang w:val="en-US"/>
        </w:rPr>
        <w:t xml:space="preserve">- </w:t>
      </w:r>
      <w:r w:rsidR="00C91184" w:rsidRPr="002067C9">
        <w:rPr>
          <w:rFonts w:ascii="Arial" w:hAnsi="Arial" w:cs="Arial"/>
          <w:sz w:val="20"/>
          <w:szCs w:val="20"/>
        </w:rPr>
        <w:t>Áp dụng đối với đơn vị xác định được doanh thu, chi phí, thu nhập của hoạt động kinh doanh.</w:t>
      </w:r>
    </w:p>
    <w:p w:rsidR="00BD0D8D" w:rsidRPr="002067C9" w:rsidRDefault="00B03515" w:rsidP="00B03515">
      <w:pPr>
        <w:pStyle w:val="Vnbnnidung0"/>
        <w:tabs>
          <w:tab w:val="left" w:pos="1012"/>
        </w:tabs>
        <w:spacing w:after="120"/>
        <w:ind w:firstLine="284"/>
        <w:rPr>
          <w:rFonts w:ascii="Arial" w:hAnsi="Arial" w:cs="Arial"/>
          <w:sz w:val="20"/>
          <w:szCs w:val="20"/>
        </w:rPr>
      </w:pPr>
      <w:bookmarkStart w:id="21" w:name="bookmark20"/>
      <w:bookmarkEnd w:id="21"/>
      <w:r>
        <w:rPr>
          <w:rFonts w:ascii="Arial" w:hAnsi="Arial" w:cs="Arial"/>
          <w:sz w:val="20"/>
          <w:szCs w:val="20"/>
          <w:lang w:val="en-US"/>
        </w:rPr>
        <w:t xml:space="preserve">- </w:t>
      </w:r>
      <w:r w:rsidR="00C91184" w:rsidRPr="002067C9">
        <w:rPr>
          <w:rFonts w:ascii="Arial" w:hAnsi="Arial" w:cs="Arial"/>
          <w:sz w:val="20"/>
          <w:szCs w:val="20"/>
        </w:rPr>
        <w:t>Mẫu Tờ khai: Kê khai theo Mẫu số 03/TNDN.</w:t>
      </w:r>
    </w:p>
    <w:p w:rsidR="00BD0D8D" w:rsidRPr="002067C9" w:rsidRDefault="00C91184" w:rsidP="00B03515">
      <w:pPr>
        <w:pStyle w:val="Tiu10"/>
        <w:keepNext/>
        <w:keepLines/>
        <w:spacing w:after="120"/>
        <w:ind w:firstLine="284"/>
        <w:outlineLvl w:val="9"/>
        <w:rPr>
          <w:rFonts w:ascii="Arial" w:hAnsi="Arial" w:cs="Arial"/>
          <w:sz w:val="20"/>
          <w:szCs w:val="20"/>
        </w:rPr>
      </w:pPr>
      <w:bookmarkStart w:id="22" w:name="bookmark21"/>
      <w:bookmarkStart w:id="23" w:name="bookmark22"/>
      <w:bookmarkStart w:id="24" w:name="bookmark23"/>
      <w:r w:rsidRPr="002067C9">
        <w:rPr>
          <w:rFonts w:ascii="Arial" w:hAnsi="Arial" w:cs="Arial"/>
          <w:sz w:val="20"/>
          <w:szCs w:val="20"/>
        </w:rPr>
        <w:t>1.2.2 Kê khai theo phương pháp tỷ lệ % trên doanh thu bán hàng hóa, dịch vụ:</w:t>
      </w:r>
      <w:bookmarkEnd w:id="22"/>
      <w:bookmarkEnd w:id="23"/>
      <w:bookmarkEnd w:id="24"/>
    </w:p>
    <w:p w:rsidR="00BD0D8D" w:rsidRPr="002067C9" w:rsidRDefault="00C91184" w:rsidP="00B03515">
      <w:pPr>
        <w:pStyle w:val="Vnbnnidung0"/>
        <w:numPr>
          <w:ilvl w:val="0"/>
          <w:numId w:val="2"/>
        </w:numPr>
        <w:tabs>
          <w:tab w:val="left" w:pos="992"/>
        </w:tabs>
        <w:spacing w:after="120"/>
        <w:ind w:firstLine="284"/>
        <w:rPr>
          <w:rFonts w:ascii="Arial" w:hAnsi="Arial" w:cs="Arial"/>
          <w:sz w:val="20"/>
          <w:szCs w:val="20"/>
        </w:rPr>
      </w:pPr>
      <w:bookmarkStart w:id="25" w:name="bookmark24"/>
      <w:bookmarkEnd w:id="25"/>
      <w:r w:rsidRPr="002067C9">
        <w:rPr>
          <w:rFonts w:ascii="Arial" w:hAnsi="Arial" w:cs="Arial"/>
          <w:sz w:val="20"/>
          <w:szCs w:val="20"/>
        </w:rPr>
        <w:t>Áp</w:t>
      </w:r>
      <w:r w:rsidRPr="002067C9">
        <w:rPr>
          <w:rFonts w:ascii="Arial" w:hAnsi="Arial" w:cs="Arial"/>
          <w:sz w:val="20"/>
          <w:szCs w:val="20"/>
        </w:rPr>
        <w:t xml:space="preserve"> dụng đối với đơn vị xác định được doanh thu nhưng không xác định được chi phí, thu nhập của hoạt động kinh doanh.</w:t>
      </w:r>
    </w:p>
    <w:p w:rsidR="00BD0D8D" w:rsidRPr="002067C9" w:rsidRDefault="00C91184" w:rsidP="00B03515">
      <w:pPr>
        <w:pStyle w:val="Vnbnnidung0"/>
        <w:spacing w:after="120"/>
        <w:ind w:firstLine="284"/>
        <w:rPr>
          <w:rFonts w:ascii="Arial" w:hAnsi="Arial" w:cs="Arial"/>
          <w:sz w:val="20"/>
          <w:szCs w:val="20"/>
        </w:rPr>
      </w:pPr>
      <w:r w:rsidRPr="002067C9">
        <w:rPr>
          <w:rFonts w:ascii="Arial" w:hAnsi="Arial" w:cs="Arial"/>
          <w:i/>
          <w:iCs/>
          <w:sz w:val="20"/>
          <w:szCs w:val="20"/>
        </w:rPr>
        <w:t>+ Đối với dịch vụ (bao gồm cả lãi tiền gửi, lãi tiền cho vay): 5%.</w:t>
      </w:r>
    </w:p>
    <w:p w:rsidR="00BD0D8D" w:rsidRPr="002067C9" w:rsidRDefault="00C91184" w:rsidP="00B03515">
      <w:pPr>
        <w:pStyle w:val="Vnbnnidung0"/>
        <w:spacing w:after="120"/>
        <w:ind w:firstLine="284"/>
        <w:rPr>
          <w:rFonts w:ascii="Arial" w:hAnsi="Arial" w:cs="Arial"/>
          <w:sz w:val="20"/>
          <w:szCs w:val="20"/>
        </w:rPr>
      </w:pPr>
      <w:r w:rsidRPr="002067C9">
        <w:rPr>
          <w:rFonts w:ascii="Arial" w:hAnsi="Arial" w:cs="Arial"/>
          <w:i/>
          <w:iCs/>
          <w:sz w:val="20"/>
          <w:szCs w:val="20"/>
        </w:rPr>
        <w:t>+ Riêng hoạt động giáo dục, y tế, biểu diễn nghệ thuật: 2%.</w:t>
      </w:r>
    </w:p>
    <w:p w:rsidR="00BD0D8D" w:rsidRPr="002067C9" w:rsidRDefault="00B03515" w:rsidP="00B03515">
      <w:pPr>
        <w:pStyle w:val="Vnbnnidung0"/>
        <w:tabs>
          <w:tab w:val="left" w:pos="1012"/>
        </w:tabs>
        <w:spacing w:after="120"/>
        <w:ind w:firstLine="284"/>
        <w:rPr>
          <w:rFonts w:ascii="Arial" w:hAnsi="Arial" w:cs="Arial"/>
          <w:sz w:val="20"/>
          <w:szCs w:val="20"/>
        </w:rPr>
      </w:pPr>
      <w:bookmarkStart w:id="26" w:name="bookmark25"/>
      <w:bookmarkEnd w:id="26"/>
      <w:r>
        <w:rPr>
          <w:rFonts w:ascii="Arial" w:hAnsi="Arial" w:cs="Arial"/>
          <w:sz w:val="20"/>
          <w:szCs w:val="20"/>
          <w:lang w:val="en-US"/>
        </w:rPr>
        <w:t xml:space="preserve">- </w:t>
      </w:r>
      <w:r w:rsidR="00C91184" w:rsidRPr="002067C9">
        <w:rPr>
          <w:rFonts w:ascii="Arial" w:hAnsi="Arial" w:cs="Arial"/>
          <w:sz w:val="20"/>
          <w:szCs w:val="20"/>
        </w:rPr>
        <w:t>Mẫu Tờ khai: K</w:t>
      </w:r>
      <w:r w:rsidR="00C91184" w:rsidRPr="002067C9">
        <w:rPr>
          <w:rFonts w:ascii="Arial" w:hAnsi="Arial" w:cs="Arial"/>
          <w:sz w:val="20"/>
          <w:szCs w:val="20"/>
        </w:rPr>
        <w:t>ê khai theo Mẫu số 04/TNDN.</w:t>
      </w:r>
    </w:p>
    <w:p w:rsidR="00BD0D8D" w:rsidRPr="002067C9" w:rsidRDefault="00C91184" w:rsidP="00B03515">
      <w:pPr>
        <w:pStyle w:val="Vnbnnidung0"/>
        <w:spacing w:after="120"/>
        <w:ind w:firstLine="284"/>
        <w:rPr>
          <w:rFonts w:ascii="Arial" w:hAnsi="Arial" w:cs="Arial"/>
          <w:sz w:val="20"/>
          <w:szCs w:val="20"/>
        </w:rPr>
      </w:pPr>
      <w:r w:rsidRPr="002067C9">
        <w:rPr>
          <w:rFonts w:ascii="Arial" w:hAnsi="Arial" w:cs="Arial"/>
          <w:b/>
          <w:bCs/>
          <w:sz w:val="20"/>
          <w:szCs w:val="20"/>
        </w:rPr>
        <w:t xml:space="preserve">1.2.3. Về hồ sơ khai thuế: </w:t>
      </w:r>
      <w:r w:rsidRPr="002067C9">
        <w:rPr>
          <w:rFonts w:ascii="Arial" w:hAnsi="Arial" w:cs="Arial"/>
          <w:sz w:val="20"/>
          <w:szCs w:val="20"/>
        </w:rPr>
        <w:t xml:space="preserve">Tại khoản 2 Điều 7 Nghị định số 126/2020/NĐ-CP ngày 19/10/2020 của Chính phủ quy định: </w:t>
      </w:r>
      <w:r w:rsidRPr="002067C9">
        <w:rPr>
          <w:rFonts w:ascii="Arial" w:hAnsi="Arial" w:cs="Arial"/>
          <w:i/>
          <w:iCs/>
          <w:sz w:val="20"/>
          <w:szCs w:val="20"/>
        </w:rPr>
        <w:t xml:space="preserve">“2. Hồ sơ khai thuế tương ứng với từng loại thuế, người nộp thuế, phù hợp với phương pháp tính thuế, kỳ tính thuế </w:t>
      </w:r>
      <w:r w:rsidRPr="002067C9">
        <w:rPr>
          <w:rFonts w:ascii="Arial" w:hAnsi="Arial" w:cs="Arial"/>
          <w:i/>
          <w:iCs/>
          <w:sz w:val="20"/>
          <w:szCs w:val="20"/>
        </w:rPr>
        <w:t xml:space="preserve">(tháng, quý, năm, từng lần phát sinh hoặc quyết toán). Trường hợp </w:t>
      </w:r>
      <w:r w:rsidRPr="002067C9">
        <w:rPr>
          <w:rFonts w:ascii="Arial" w:hAnsi="Arial" w:cs="Arial"/>
          <w:i/>
          <w:iCs/>
          <w:sz w:val="20"/>
          <w:szCs w:val="20"/>
          <w:u w:val="single"/>
        </w:rPr>
        <w:t>cùng một loại thuế mà người nộp thuế có nhiều hoạt động kinh doanh</w:t>
      </w:r>
      <w:r w:rsidRPr="002067C9">
        <w:rPr>
          <w:rFonts w:ascii="Arial" w:hAnsi="Arial" w:cs="Arial"/>
          <w:i/>
          <w:iCs/>
          <w:sz w:val="20"/>
          <w:szCs w:val="20"/>
        </w:rPr>
        <w:t xml:space="preserve"> thì thực hiện </w:t>
      </w:r>
      <w:r w:rsidRPr="002067C9">
        <w:rPr>
          <w:rFonts w:ascii="Arial" w:hAnsi="Arial" w:cs="Arial"/>
          <w:i/>
          <w:iCs/>
          <w:sz w:val="20"/>
          <w:szCs w:val="20"/>
          <w:u w:val="single"/>
        </w:rPr>
        <w:t>khai chung trên một hồ sơ khai thuế</w:t>
      </w:r>
      <w:r w:rsidRPr="002067C9">
        <w:rPr>
          <w:rFonts w:ascii="Arial" w:hAnsi="Arial" w:cs="Arial"/>
          <w:i/>
          <w:iCs/>
          <w:sz w:val="20"/>
          <w:szCs w:val="20"/>
        </w:rPr>
        <w:t>.”</w:t>
      </w:r>
    </w:p>
    <w:p w:rsidR="00BD0D8D" w:rsidRPr="002067C9" w:rsidRDefault="00C91184" w:rsidP="00B03515">
      <w:pPr>
        <w:pStyle w:val="Vnbnnidung0"/>
        <w:spacing w:after="120"/>
        <w:ind w:firstLine="284"/>
        <w:rPr>
          <w:rFonts w:ascii="Arial" w:hAnsi="Arial" w:cs="Arial"/>
          <w:sz w:val="20"/>
          <w:szCs w:val="20"/>
        </w:rPr>
      </w:pPr>
      <w:r w:rsidRPr="002067C9">
        <w:rPr>
          <w:rFonts w:ascii="Arial" w:hAnsi="Arial" w:cs="Arial"/>
          <w:sz w:val="20"/>
          <w:szCs w:val="20"/>
        </w:rPr>
        <w:t>Căn cứ các quy định nêu trên, các khoản thu của các trường (học phí chí</w:t>
      </w:r>
      <w:r w:rsidRPr="002067C9">
        <w:rPr>
          <w:rFonts w:ascii="Arial" w:hAnsi="Arial" w:cs="Arial"/>
          <w:sz w:val="20"/>
          <w:szCs w:val="20"/>
        </w:rPr>
        <w:t>nh quy, liên doanh liên kết, các dịch vụ khác...) phải thực hiện khai chung trên một hồ sơ khai thuế với cùng một phương pháp kê khai thuế.</w:t>
      </w:r>
    </w:p>
    <w:p w:rsidR="00BD0D8D" w:rsidRPr="002067C9" w:rsidRDefault="00B03515" w:rsidP="00B03515">
      <w:pPr>
        <w:pStyle w:val="Tiu10"/>
        <w:keepNext/>
        <w:keepLines/>
        <w:tabs>
          <w:tab w:val="left" w:pos="1310"/>
        </w:tabs>
        <w:spacing w:after="120"/>
        <w:ind w:firstLine="284"/>
        <w:outlineLvl w:val="9"/>
        <w:rPr>
          <w:rFonts w:ascii="Arial" w:hAnsi="Arial" w:cs="Arial"/>
          <w:sz w:val="20"/>
          <w:szCs w:val="20"/>
        </w:rPr>
      </w:pPr>
      <w:bookmarkStart w:id="27" w:name="bookmark28"/>
      <w:bookmarkStart w:id="28" w:name="bookmark26"/>
      <w:bookmarkStart w:id="29" w:name="bookmark27"/>
      <w:bookmarkStart w:id="30" w:name="bookmark29"/>
      <w:bookmarkEnd w:id="27"/>
      <w:r>
        <w:rPr>
          <w:rFonts w:ascii="Arial" w:hAnsi="Arial" w:cs="Arial"/>
          <w:sz w:val="20"/>
          <w:szCs w:val="20"/>
          <w:lang w:val="en-US"/>
        </w:rPr>
        <w:t xml:space="preserve">1.3. </w:t>
      </w:r>
      <w:r w:rsidR="00C91184" w:rsidRPr="002067C9">
        <w:rPr>
          <w:rFonts w:ascii="Arial" w:hAnsi="Arial" w:cs="Arial"/>
          <w:sz w:val="20"/>
          <w:szCs w:val="20"/>
        </w:rPr>
        <w:t>Thời hạn nộp tờ khai quyết toán thuế TNDN và thời hạn nộp thuế:</w:t>
      </w:r>
      <w:bookmarkEnd w:id="28"/>
      <w:bookmarkEnd w:id="29"/>
      <w:bookmarkEnd w:id="30"/>
    </w:p>
    <w:p w:rsidR="00BD0D8D" w:rsidRPr="002067C9" w:rsidRDefault="00B03515" w:rsidP="00B03515">
      <w:pPr>
        <w:pStyle w:val="Vnbnnidung0"/>
        <w:tabs>
          <w:tab w:val="left" w:pos="987"/>
        </w:tabs>
        <w:spacing w:after="120"/>
        <w:ind w:firstLine="284"/>
        <w:rPr>
          <w:rFonts w:ascii="Arial" w:hAnsi="Arial" w:cs="Arial"/>
          <w:sz w:val="20"/>
          <w:szCs w:val="20"/>
        </w:rPr>
      </w:pPr>
      <w:bookmarkStart w:id="31" w:name="bookmark30"/>
      <w:bookmarkEnd w:id="31"/>
      <w:r>
        <w:rPr>
          <w:rFonts w:ascii="Arial" w:hAnsi="Arial" w:cs="Arial"/>
          <w:sz w:val="20"/>
          <w:szCs w:val="20"/>
          <w:lang w:val="en-US"/>
        </w:rPr>
        <w:t xml:space="preserve">- </w:t>
      </w:r>
      <w:r w:rsidR="00C91184" w:rsidRPr="002067C9">
        <w:rPr>
          <w:rFonts w:ascii="Arial" w:hAnsi="Arial" w:cs="Arial"/>
          <w:sz w:val="20"/>
          <w:szCs w:val="20"/>
        </w:rPr>
        <w:t>Tổng số thuế TNDN đã tạm nộp của 04 quý không được t</w:t>
      </w:r>
      <w:r w:rsidR="00C91184" w:rsidRPr="002067C9">
        <w:rPr>
          <w:rFonts w:ascii="Arial" w:hAnsi="Arial" w:cs="Arial"/>
          <w:sz w:val="20"/>
          <w:szCs w:val="20"/>
        </w:rPr>
        <w:t>hấp hơn 80% số thuế TNDN phải nộp theo quyết toán năm.</w:t>
      </w:r>
    </w:p>
    <w:p w:rsidR="00BD0D8D" w:rsidRPr="002067C9" w:rsidRDefault="00B03515" w:rsidP="00B03515">
      <w:pPr>
        <w:pStyle w:val="Vnbnnidung0"/>
        <w:tabs>
          <w:tab w:val="left" w:pos="1002"/>
        </w:tabs>
        <w:spacing w:after="120"/>
        <w:ind w:firstLine="284"/>
        <w:rPr>
          <w:rFonts w:ascii="Arial" w:hAnsi="Arial" w:cs="Arial"/>
          <w:sz w:val="20"/>
          <w:szCs w:val="20"/>
        </w:rPr>
      </w:pPr>
      <w:bookmarkStart w:id="32" w:name="bookmark31"/>
      <w:bookmarkEnd w:id="32"/>
      <w:r>
        <w:rPr>
          <w:rFonts w:ascii="Arial" w:hAnsi="Arial" w:cs="Arial"/>
          <w:sz w:val="20"/>
          <w:szCs w:val="20"/>
          <w:lang w:val="en-US"/>
        </w:rPr>
        <w:t xml:space="preserve">- </w:t>
      </w:r>
      <w:r w:rsidR="00C91184" w:rsidRPr="002067C9">
        <w:rPr>
          <w:rFonts w:ascii="Arial" w:hAnsi="Arial" w:cs="Arial"/>
          <w:sz w:val="20"/>
          <w:szCs w:val="20"/>
        </w:rPr>
        <w:t xml:space="preserve">Trường hợp người nộp thuế nộp thiếu so với số thuế phải tạm nộp 04 quý thì phải nộp tiền chậm nộp tính trên số thuế nộp thuế kể từ ngày tiếp sau ngày cuối cùng của thời hạn tạm nộp thuế thu nhập doanh </w:t>
      </w:r>
      <w:r w:rsidR="00C91184" w:rsidRPr="002067C9">
        <w:rPr>
          <w:rFonts w:ascii="Arial" w:hAnsi="Arial" w:cs="Arial"/>
          <w:sz w:val="20"/>
          <w:szCs w:val="20"/>
        </w:rPr>
        <w:t>nghiệp quý 04 đến ngày liền kề trước ngày nộp số thuế còn thiếu vào ngân sách nhà nước theo quy định khoản 3 Điều 1 Nghị định số 91/2022/NĐ-CP sửa đổi, bổ sung Nghị định số 126/2020/NĐ-CP.</w:t>
      </w:r>
    </w:p>
    <w:p w:rsidR="00BD0D8D" w:rsidRPr="002067C9" w:rsidRDefault="00B03515" w:rsidP="00B03515">
      <w:pPr>
        <w:pStyle w:val="Vnbnnidung0"/>
        <w:tabs>
          <w:tab w:val="left" w:pos="1002"/>
        </w:tabs>
        <w:spacing w:after="120"/>
        <w:ind w:firstLine="284"/>
        <w:rPr>
          <w:rFonts w:ascii="Arial" w:hAnsi="Arial" w:cs="Arial"/>
          <w:sz w:val="20"/>
          <w:szCs w:val="20"/>
        </w:rPr>
      </w:pPr>
      <w:bookmarkStart w:id="33" w:name="bookmark32"/>
      <w:bookmarkEnd w:id="33"/>
      <w:r>
        <w:rPr>
          <w:rFonts w:ascii="Arial" w:hAnsi="Arial" w:cs="Arial"/>
          <w:sz w:val="20"/>
          <w:szCs w:val="20"/>
          <w:lang w:val="en-US"/>
        </w:rPr>
        <w:t xml:space="preserve">- </w:t>
      </w:r>
      <w:r w:rsidR="00C91184" w:rsidRPr="002067C9">
        <w:rPr>
          <w:rFonts w:ascii="Arial" w:hAnsi="Arial" w:cs="Arial"/>
          <w:sz w:val="20"/>
          <w:szCs w:val="20"/>
        </w:rPr>
        <w:t>Đơn vị gửi hồ sơ khai quyết toán thuế TNDN năm 2024, nộp số thuế TN</w:t>
      </w:r>
      <w:r w:rsidR="00C91184" w:rsidRPr="002067C9">
        <w:rPr>
          <w:rFonts w:ascii="Arial" w:hAnsi="Arial" w:cs="Arial"/>
          <w:sz w:val="20"/>
          <w:szCs w:val="20"/>
        </w:rPr>
        <w:t>DN còn phải nộp sau quyết toán chậm nhất là ngày cuối cùng của tháng thứ 3 kể từ ngày kết thúc năm dương lịch hoặc năm tài chính cho cơ quan thuế quản lý trực tiếp (ngày 31/03/2025).</w:t>
      </w:r>
    </w:p>
    <w:p w:rsidR="00BD0D8D" w:rsidRPr="002067C9" w:rsidRDefault="00B03515" w:rsidP="00B03515">
      <w:pPr>
        <w:pStyle w:val="Tiu10"/>
        <w:keepNext/>
        <w:keepLines/>
        <w:tabs>
          <w:tab w:val="left" w:pos="1132"/>
        </w:tabs>
        <w:spacing w:after="120"/>
        <w:ind w:firstLine="284"/>
        <w:outlineLvl w:val="9"/>
        <w:rPr>
          <w:rFonts w:ascii="Arial" w:hAnsi="Arial" w:cs="Arial"/>
          <w:sz w:val="20"/>
          <w:szCs w:val="20"/>
        </w:rPr>
      </w:pPr>
      <w:bookmarkStart w:id="34" w:name="bookmark35"/>
      <w:bookmarkStart w:id="35" w:name="bookmark33"/>
      <w:bookmarkStart w:id="36" w:name="bookmark34"/>
      <w:bookmarkStart w:id="37" w:name="bookmark36"/>
      <w:bookmarkEnd w:id="34"/>
      <w:r>
        <w:rPr>
          <w:rFonts w:ascii="Arial" w:hAnsi="Arial" w:cs="Arial"/>
          <w:sz w:val="20"/>
          <w:szCs w:val="20"/>
          <w:lang w:val="en-US"/>
        </w:rPr>
        <w:t xml:space="preserve">2. </w:t>
      </w:r>
      <w:r w:rsidR="00C91184" w:rsidRPr="002067C9">
        <w:rPr>
          <w:rFonts w:ascii="Arial" w:hAnsi="Arial" w:cs="Arial"/>
          <w:sz w:val="20"/>
          <w:szCs w:val="20"/>
        </w:rPr>
        <w:t>Chính sách quy định về thuế GTGT đối với CSGD:</w:t>
      </w:r>
      <w:bookmarkEnd w:id="35"/>
      <w:bookmarkEnd w:id="36"/>
      <w:bookmarkEnd w:id="37"/>
    </w:p>
    <w:p w:rsidR="00BD0D8D" w:rsidRPr="002067C9" w:rsidRDefault="00C91184" w:rsidP="00B03515">
      <w:pPr>
        <w:pStyle w:val="Vnbnnidung0"/>
        <w:spacing w:after="120"/>
        <w:ind w:firstLine="284"/>
        <w:rPr>
          <w:rFonts w:ascii="Arial" w:hAnsi="Arial" w:cs="Arial"/>
          <w:sz w:val="20"/>
          <w:szCs w:val="20"/>
        </w:rPr>
      </w:pPr>
      <w:r w:rsidRPr="002067C9">
        <w:rPr>
          <w:rFonts w:ascii="Arial" w:hAnsi="Arial" w:cs="Arial"/>
          <w:sz w:val="20"/>
          <w:szCs w:val="20"/>
        </w:rPr>
        <w:t xml:space="preserve">Tại khoản 13 Điều 5 Luật </w:t>
      </w:r>
      <w:r w:rsidRPr="002067C9">
        <w:rPr>
          <w:rFonts w:ascii="Arial" w:hAnsi="Arial" w:cs="Arial"/>
          <w:sz w:val="20"/>
          <w:szCs w:val="20"/>
        </w:rPr>
        <w:t>Thuế Giá trị gia tăng 2008 quy định về những đối tượng không chịu thuế GTGT có bao gồm:</w:t>
      </w:r>
    </w:p>
    <w:p w:rsidR="00BD0D8D" w:rsidRPr="002067C9" w:rsidRDefault="00C91184" w:rsidP="00B03515">
      <w:pPr>
        <w:pStyle w:val="Vnbnnidung0"/>
        <w:spacing w:after="120"/>
        <w:ind w:firstLine="284"/>
        <w:rPr>
          <w:rFonts w:ascii="Arial" w:hAnsi="Arial" w:cs="Arial"/>
          <w:sz w:val="20"/>
          <w:szCs w:val="20"/>
        </w:rPr>
      </w:pPr>
      <w:r w:rsidRPr="002067C9">
        <w:rPr>
          <w:rFonts w:ascii="Arial" w:hAnsi="Arial" w:cs="Arial"/>
          <w:i/>
          <w:iCs/>
          <w:sz w:val="20"/>
          <w:szCs w:val="20"/>
        </w:rPr>
        <w:t>“Điều 5. Đối tượng không chịu thuế</w:t>
      </w:r>
    </w:p>
    <w:p w:rsidR="00BD0D8D" w:rsidRPr="002067C9" w:rsidRDefault="00C91184" w:rsidP="00B03515">
      <w:pPr>
        <w:pStyle w:val="Vnbnnidung0"/>
        <w:spacing w:after="120"/>
        <w:ind w:firstLine="284"/>
        <w:rPr>
          <w:rFonts w:ascii="Arial" w:hAnsi="Arial" w:cs="Arial"/>
          <w:sz w:val="20"/>
          <w:szCs w:val="20"/>
        </w:rPr>
      </w:pPr>
      <w:r w:rsidRPr="002067C9">
        <w:rPr>
          <w:rFonts w:ascii="Arial" w:hAnsi="Arial" w:cs="Arial"/>
          <w:i/>
          <w:iCs/>
          <w:sz w:val="20"/>
          <w:szCs w:val="20"/>
        </w:rPr>
        <w:t>...13. Dạy học, dạy nghề theo quy định của pháp luật...”</w:t>
      </w:r>
    </w:p>
    <w:p w:rsidR="00BD0D8D" w:rsidRPr="002067C9" w:rsidRDefault="00C91184" w:rsidP="00B03515">
      <w:pPr>
        <w:pStyle w:val="Vnbnnidung0"/>
        <w:spacing w:after="120"/>
        <w:ind w:firstLine="284"/>
        <w:rPr>
          <w:rFonts w:ascii="Arial" w:hAnsi="Arial" w:cs="Arial"/>
          <w:sz w:val="20"/>
          <w:szCs w:val="20"/>
        </w:rPr>
      </w:pPr>
      <w:r w:rsidRPr="002067C9">
        <w:rPr>
          <w:rFonts w:ascii="Arial" w:hAnsi="Arial" w:cs="Arial"/>
          <w:sz w:val="20"/>
          <w:szCs w:val="20"/>
        </w:rPr>
        <w:t>Căn cứ Khoản 3, điều 7, Nghị định số 126/2020/NĐ-CP quy định: Người nộp thuế</w:t>
      </w:r>
      <w:r w:rsidRPr="002067C9">
        <w:rPr>
          <w:rFonts w:ascii="Arial" w:hAnsi="Arial" w:cs="Arial"/>
          <w:sz w:val="20"/>
          <w:szCs w:val="20"/>
        </w:rPr>
        <w:t xml:space="preserve"> không phải nộp hồ sơ khai thuế trong trường hợp chỉ có hoạt động kinh doanh thuộc đối tượng không chịu thuế theo quy định của pháp luật về thuế đối với từng loại thuế.</w:t>
      </w:r>
    </w:p>
    <w:p w:rsidR="00BD0D8D" w:rsidRPr="002067C9" w:rsidRDefault="00C91184" w:rsidP="00B03515">
      <w:pPr>
        <w:pStyle w:val="Vnbnnidung0"/>
        <w:spacing w:after="120"/>
        <w:ind w:firstLine="284"/>
        <w:rPr>
          <w:rFonts w:ascii="Arial" w:hAnsi="Arial" w:cs="Arial"/>
          <w:sz w:val="20"/>
          <w:szCs w:val="20"/>
        </w:rPr>
      </w:pPr>
      <w:r w:rsidRPr="002067C9">
        <w:rPr>
          <w:rFonts w:ascii="Arial" w:hAnsi="Arial" w:cs="Arial"/>
          <w:sz w:val="20"/>
          <w:szCs w:val="20"/>
        </w:rPr>
        <w:t>Như vậy, nếu cơ sở giáo dục chỉ có khoản thu thuộc đối tượng không chịu thuế GTGT như t</w:t>
      </w:r>
      <w:r w:rsidRPr="002067C9">
        <w:rPr>
          <w:rFonts w:ascii="Arial" w:hAnsi="Arial" w:cs="Arial"/>
          <w:sz w:val="20"/>
          <w:szCs w:val="20"/>
        </w:rPr>
        <w:t>hu từ học phí đào tạo thì đơn vị thuộc đối tượng không phải kê khai, nộp thuế GTGT.</w:t>
      </w:r>
    </w:p>
    <w:p w:rsidR="00BD0D8D" w:rsidRPr="002067C9" w:rsidRDefault="00C91184" w:rsidP="00B03515">
      <w:pPr>
        <w:pStyle w:val="Vnbnnidung0"/>
        <w:spacing w:after="120"/>
        <w:ind w:firstLine="284"/>
        <w:rPr>
          <w:rFonts w:ascii="Arial" w:hAnsi="Arial" w:cs="Arial"/>
          <w:sz w:val="20"/>
          <w:szCs w:val="20"/>
        </w:rPr>
      </w:pPr>
      <w:r w:rsidRPr="002067C9">
        <w:rPr>
          <w:rFonts w:ascii="Arial" w:hAnsi="Arial" w:cs="Arial"/>
          <w:sz w:val="20"/>
          <w:szCs w:val="20"/>
        </w:rPr>
        <w:t>Tuy nhiên trên thực tế các trường có thể có nhiều khoản thu khác nhau, trong đó có các khoản thu thuộc đối tượng chịu thuế GTGT. Do đó đề nghị các trường lưu ý: Trong trườn</w:t>
      </w:r>
      <w:r w:rsidRPr="002067C9">
        <w:rPr>
          <w:rFonts w:ascii="Arial" w:hAnsi="Arial" w:cs="Arial"/>
          <w:sz w:val="20"/>
          <w:szCs w:val="20"/>
        </w:rPr>
        <w:t>g hợp ngoài khoản thu từ học phí, nếu đơn vị phát sinh các khoản thu khác chịu thuế GTGT thì đơn vị vẫn phải kê khai thuế GTGT. Trong đó khoản thu từ học phí được kê khai vào chỉ tiêu doanh thu không chịu thuế trên Tờ khai thuế GTGT.</w:t>
      </w:r>
    </w:p>
    <w:p w:rsidR="00BD0D8D" w:rsidRPr="002067C9" w:rsidRDefault="00B03515" w:rsidP="00B03515">
      <w:pPr>
        <w:pStyle w:val="Tiu10"/>
        <w:keepNext/>
        <w:keepLines/>
        <w:tabs>
          <w:tab w:val="left" w:pos="1132"/>
        </w:tabs>
        <w:spacing w:after="120"/>
        <w:ind w:firstLine="284"/>
        <w:outlineLvl w:val="9"/>
        <w:rPr>
          <w:rFonts w:ascii="Arial" w:hAnsi="Arial" w:cs="Arial"/>
          <w:sz w:val="20"/>
          <w:szCs w:val="20"/>
        </w:rPr>
      </w:pPr>
      <w:bookmarkStart w:id="38" w:name="bookmark39"/>
      <w:bookmarkStart w:id="39" w:name="bookmark37"/>
      <w:bookmarkStart w:id="40" w:name="bookmark38"/>
      <w:bookmarkStart w:id="41" w:name="bookmark40"/>
      <w:bookmarkEnd w:id="38"/>
      <w:r>
        <w:rPr>
          <w:rFonts w:ascii="Arial" w:hAnsi="Arial" w:cs="Arial"/>
          <w:sz w:val="20"/>
          <w:szCs w:val="20"/>
          <w:lang w:val="en-US"/>
        </w:rPr>
        <w:lastRenderedPageBreak/>
        <w:t>3. V</w:t>
      </w:r>
      <w:r w:rsidR="00C91184" w:rsidRPr="002067C9">
        <w:rPr>
          <w:rFonts w:ascii="Arial" w:hAnsi="Arial" w:cs="Arial"/>
          <w:sz w:val="20"/>
          <w:szCs w:val="20"/>
        </w:rPr>
        <w:t>ề việc sử dụng hóa đơ</w:t>
      </w:r>
      <w:r w:rsidR="00C91184" w:rsidRPr="002067C9">
        <w:rPr>
          <w:rFonts w:ascii="Arial" w:hAnsi="Arial" w:cs="Arial"/>
          <w:sz w:val="20"/>
          <w:szCs w:val="20"/>
        </w:rPr>
        <w:t>n điện tử:</w:t>
      </w:r>
      <w:bookmarkEnd w:id="39"/>
      <w:bookmarkEnd w:id="40"/>
      <w:bookmarkEnd w:id="41"/>
    </w:p>
    <w:p w:rsidR="00BD0D8D" w:rsidRPr="002067C9" w:rsidRDefault="00B03515" w:rsidP="00B03515">
      <w:pPr>
        <w:pStyle w:val="Vnbnnidung0"/>
        <w:tabs>
          <w:tab w:val="left" w:pos="1006"/>
        </w:tabs>
        <w:spacing w:after="120"/>
        <w:ind w:firstLine="284"/>
        <w:rPr>
          <w:rFonts w:ascii="Arial" w:hAnsi="Arial" w:cs="Arial"/>
          <w:sz w:val="20"/>
          <w:szCs w:val="20"/>
        </w:rPr>
      </w:pPr>
      <w:bookmarkStart w:id="42" w:name="bookmark41"/>
      <w:bookmarkEnd w:id="42"/>
      <w:r>
        <w:rPr>
          <w:rFonts w:ascii="Arial" w:hAnsi="Arial" w:cs="Arial"/>
          <w:sz w:val="20"/>
          <w:szCs w:val="20"/>
          <w:lang w:val="en-US"/>
        </w:rPr>
        <w:t xml:space="preserve">- </w:t>
      </w:r>
      <w:r w:rsidR="00C91184" w:rsidRPr="002067C9">
        <w:rPr>
          <w:rFonts w:ascii="Arial" w:hAnsi="Arial" w:cs="Arial"/>
          <w:sz w:val="20"/>
          <w:szCs w:val="20"/>
        </w:rPr>
        <w:t>Các cơ sở giáo dục thực hiện lập, quản lý, sử dụng hóa đơn điện tử theo Nghị định số 123/2020/NĐ-CP ngày 19/10/2020 của Chính phủ và Thông tư số 78/2021/TT-BTC ngày 17/9/2021 hướng dẫn thực hiện một số điều của Luật</w:t>
      </w:r>
      <w:r w:rsidR="002067C9">
        <w:rPr>
          <w:rFonts w:ascii="Arial" w:hAnsi="Arial" w:cs="Arial"/>
          <w:sz w:val="20"/>
          <w:szCs w:val="20"/>
          <w:lang w:val="en-US"/>
        </w:rPr>
        <w:t xml:space="preserve"> </w:t>
      </w:r>
      <w:r w:rsidR="00C91184" w:rsidRPr="002067C9">
        <w:rPr>
          <w:rFonts w:ascii="Arial" w:hAnsi="Arial" w:cs="Arial"/>
          <w:sz w:val="20"/>
          <w:szCs w:val="20"/>
        </w:rPr>
        <w:t>Quản lý thuế, Nghị định số 12</w:t>
      </w:r>
      <w:r w:rsidR="00C91184" w:rsidRPr="002067C9">
        <w:rPr>
          <w:rFonts w:ascii="Arial" w:hAnsi="Arial" w:cs="Arial"/>
          <w:sz w:val="20"/>
          <w:szCs w:val="20"/>
        </w:rPr>
        <w:t>3/2020/NĐ-CP ngày 19/10/2020 quy định về hóa đơn, chứng từ</w:t>
      </w:r>
    </w:p>
    <w:p w:rsidR="00BD0D8D" w:rsidRPr="002067C9" w:rsidRDefault="00B03515" w:rsidP="00B03515">
      <w:pPr>
        <w:pStyle w:val="Vnbnnidung0"/>
        <w:tabs>
          <w:tab w:val="left" w:pos="987"/>
        </w:tabs>
        <w:spacing w:after="120"/>
        <w:ind w:firstLine="284"/>
        <w:rPr>
          <w:rFonts w:ascii="Arial" w:hAnsi="Arial" w:cs="Arial"/>
          <w:sz w:val="20"/>
          <w:szCs w:val="20"/>
        </w:rPr>
      </w:pPr>
      <w:bookmarkStart w:id="43" w:name="bookmark42"/>
      <w:bookmarkEnd w:id="43"/>
      <w:r>
        <w:rPr>
          <w:rFonts w:ascii="Arial" w:hAnsi="Arial" w:cs="Arial"/>
          <w:sz w:val="20"/>
          <w:szCs w:val="20"/>
          <w:lang w:val="en-US"/>
        </w:rPr>
        <w:t xml:space="preserve">- </w:t>
      </w:r>
      <w:r w:rsidR="00C91184" w:rsidRPr="002067C9">
        <w:rPr>
          <w:rFonts w:ascii="Arial" w:hAnsi="Arial" w:cs="Arial"/>
          <w:sz w:val="20"/>
          <w:szCs w:val="20"/>
        </w:rPr>
        <w:t>Cơ sở giáo dục đào tạo có trách nhiệm xuất hóa đơn điện tử cho học sinh, sinh viên tương ứng với mỗi lần thu học phí.</w:t>
      </w:r>
    </w:p>
    <w:p w:rsidR="00BD0D8D" w:rsidRPr="002067C9" w:rsidRDefault="00B03515" w:rsidP="00B03515">
      <w:pPr>
        <w:pStyle w:val="Vnbnnidung0"/>
        <w:tabs>
          <w:tab w:val="left" w:pos="1002"/>
        </w:tabs>
        <w:spacing w:after="120"/>
        <w:ind w:firstLine="284"/>
        <w:rPr>
          <w:rFonts w:ascii="Arial" w:hAnsi="Arial" w:cs="Arial"/>
          <w:sz w:val="20"/>
          <w:szCs w:val="20"/>
        </w:rPr>
      </w:pPr>
      <w:bookmarkStart w:id="44" w:name="bookmark43"/>
      <w:bookmarkEnd w:id="44"/>
      <w:r>
        <w:rPr>
          <w:rFonts w:ascii="Arial" w:hAnsi="Arial" w:cs="Arial"/>
          <w:sz w:val="20"/>
          <w:szCs w:val="20"/>
          <w:lang w:val="en-US"/>
        </w:rPr>
        <w:t xml:space="preserve">- </w:t>
      </w:r>
      <w:r w:rsidR="00C91184" w:rsidRPr="002067C9">
        <w:rPr>
          <w:rFonts w:ascii="Arial" w:hAnsi="Arial" w:cs="Arial"/>
          <w:sz w:val="20"/>
          <w:szCs w:val="20"/>
        </w:rPr>
        <w:t>Thời điểm xuất hóa đơn thu học phí: Theo quy định tại Điều 9 Nghị định số 123/2</w:t>
      </w:r>
      <w:r w:rsidR="00C91184" w:rsidRPr="002067C9">
        <w:rPr>
          <w:rFonts w:ascii="Arial" w:hAnsi="Arial" w:cs="Arial"/>
          <w:sz w:val="20"/>
          <w:szCs w:val="20"/>
        </w:rPr>
        <w:t>020/NĐ-CP ngày 19/10/2020 của Chính phủ, thời điểm xuất hóa đơn thu học phí là thời điểm hoàn thành việc cung cấp dịch vụ giáo dục. Trường hợp người cung cấp dịch vụ có thu tiền trước hoặc trong khi cung cấp dịch vụ thì thời điểm lập hóa đơn là thời điểm t</w:t>
      </w:r>
      <w:r w:rsidR="00C91184" w:rsidRPr="002067C9">
        <w:rPr>
          <w:rFonts w:ascii="Arial" w:hAnsi="Arial" w:cs="Arial"/>
          <w:sz w:val="20"/>
          <w:szCs w:val="20"/>
        </w:rPr>
        <w:t>hu tiền.</w:t>
      </w:r>
    </w:p>
    <w:p w:rsidR="00BD0D8D" w:rsidRPr="002067C9" w:rsidRDefault="00B03515" w:rsidP="00B03515">
      <w:pPr>
        <w:pStyle w:val="Vnbnnidung0"/>
        <w:tabs>
          <w:tab w:val="left" w:pos="992"/>
        </w:tabs>
        <w:spacing w:after="120"/>
        <w:ind w:firstLine="284"/>
        <w:rPr>
          <w:rFonts w:ascii="Arial" w:hAnsi="Arial" w:cs="Arial"/>
          <w:sz w:val="20"/>
          <w:szCs w:val="20"/>
        </w:rPr>
      </w:pPr>
      <w:bookmarkStart w:id="45" w:name="bookmark44"/>
      <w:bookmarkEnd w:id="45"/>
      <w:r>
        <w:rPr>
          <w:rFonts w:ascii="Arial" w:hAnsi="Arial" w:cs="Arial"/>
          <w:sz w:val="20"/>
          <w:szCs w:val="20"/>
          <w:lang w:val="en-US"/>
        </w:rPr>
        <w:t xml:space="preserve">- </w:t>
      </w:r>
      <w:r w:rsidR="00C91184" w:rsidRPr="002067C9">
        <w:rPr>
          <w:rFonts w:ascii="Arial" w:hAnsi="Arial" w:cs="Arial"/>
          <w:sz w:val="20"/>
          <w:szCs w:val="20"/>
        </w:rPr>
        <w:t>Trường hợp vi phạm hành chính về thuế và hóa đơn thì bị xử phạt theo quy định tại Nghị định số 125/2020/NĐ-CP ngày 19/10/2020 và Nghị định số 102/2021/NĐ-CP ngày 16/11/2021 của Chính phủ.</w:t>
      </w:r>
    </w:p>
    <w:p w:rsidR="00BD0D8D" w:rsidRDefault="00C91184" w:rsidP="00B03515">
      <w:pPr>
        <w:pStyle w:val="Vnbnnidung0"/>
        <w:spacing w:after="120"/>
        <w:ind w:firstLine="284"/>
        <w:rPr>
          <w:rFonts w:ascii="Arial" w:hAnsi="Arial" w:cs="Arial"/>
          <w:sz w:val="20"/>
          <w:szCs w:val="20"/>
        </w:rPr>
      </w:pPr>
      <w:r w:rsidRPr="002067C9">
        <w:rPr>
          <w:rFonts w:ascii="Arial" w:hAnsi="Arial" w:cs="Arial"/>
          <w:sz w:val="20"/>
          <w:szCs w:val="20"/>
        </w:rPr>
        <w:t>Cục Thuế tỉnh Cao Bằng th</w:t>
      </w:r>
      <w:r w:rsidRPr="002067C9">
        <w:rPr>
          <w:rFonts w:ascii="Arial" w:hAnsi="Arial" w:cs="Arial"/>
          <w:sz w:val="20"/>
          <w:szCs w:val="20"/>
        </w:rPr>
        <w:t>ông báo để các đơn vị sự nghiệp công lập trong lĩnh vực giáo dục và đào tạo thực hiện kê khai, xác định nghĩa vụ thuế theo quy định pháp luật. Mọi vướng mắc trong quá trình thực hiện xin vui lòng liên hệ với cơ quan thuế quản lý trực tiếp để được hướng dẫn</w:t>
      </w:r>
      <w:r w:rsidR="002067C9">
        <w:rPr>
          <w:rFonts w:ascii="Arial" w:hAnsi="Arial" w:cs="Arial"/>
          <w:sz w:val="20"/>
          <w:szCs w:val="20"/>
        </w:rPr>
        <w:t xml:space="preserve"> và hỗ trợ./.</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4575"/>
      </w:tblGrid>
      <w:tr w:rsidR="002067C9" w:rsidRPr="001C31C1" w:rsidTr="001A5E7E">
        <w:tc>
          <w:tcPr>
            <w:tcW w:w="4583" w:type="dxa"/>
          </w:tcPr>
          <w:p w:rsidR="002067C9" w:rsidRPr="001C31C1" w:rsidRDefault="002067C9" w:rsidP="001A5E7E">
            <w:pPr>
              <w:pStyle w:val="Vnbnnidung0"/>
              <w:tabs>
                <w:tab w:val="left" w:pos="6091"/>
              </w:tabs>
              <w:ind w:firstLine="0"/>
              <w:rPr>
                <w:rFonts w:ascii="Arial" w:hAnsi="Arial" w:cs="Arial"/>
                <w:b/>
                <w:bCs/>
                <w:color w:val="auto"/>
                <w:sz w:val="20"/>
                <w:szCs w:val="20"/>
              </w:rPr>
            </w:pPr>
            <w:r w:rsidRPr="001C31C1">
              <w:rPr>
                <w:rFonts w:ascii="Arial" w:hAnsi="Arial" w:cs="Arial"/>
                <w:b/>
                <w:bCs/>
                <w:color w:val="auto"/>
                <w:sz w:val="20"/>
                <w:szCs w:val="20"/>
              </w:rPr>
              <w:t>Nơi nhận:</w:t>
            </w:r>
          </w:p>
          <w:p w:rsidR="002067C9" w:rsidRPr="002067C9" w:rsidRDefault="00B03515" w:rsidP="002067C9">
            <w:pPr>
              <w:pStyle w:val="Vnbnnidung20"/>
              <w:tabs>
                <w:tab w:val="left" w:pos="258"/>
              </w:tabs>
              <w:rPr>
                <w:rFonts w:ascii="Arial" w:hAnsi="Arial" w:cs="Arial"/>
                <w:sz w:val="20"/>
                <w:szCs w:val="20"/>
              </w:rPr>
            </w:pPr>
            <w:r>
              <w:rPr>
                <w:rFonts w:ascii="Arial" w:hAnsi="Arial" w:cs="Arial"/>
                <w:sz w:val="20"/>
                <w:szCs w:val="20"/>
                <w:lang w:val="en-US"/>
              </w:rPr>
              <w:t xml:space="preserve">- </w:t>
            </w:r>
            <w:r w:rsidR="002067C9" w:rsidRPr="002067C9">
              <w:rPr>
                <w:rFonts w:ascii="Arial" w:hAnsi="Arial" w:cs="Arial"/>
                <w:sz w:val="20"/>
                <w:szCs w:val="20"/>
              </w:rPr>
              <w:t>Như trên;</w:t>
            </w:r>
          </w:p>
          <w:p w:rsidR="002067C9" w:rsidRPr="002067C9" w:rsidRDefault="00B03515" w:rsidP="002067C9">
            <w:pPr>
              <w:pStyle w:val="Vnbnnidung20"/>
              <w:tabs>
                <w:tab w:val="left" w:pos="258"/>
              </w:tabs>
              <w:rPr>
                <w:rFonts w:ascii="Arial" w:hAnsi="Arial" w:cs="Arial"/>
                <w:sz w:val="20"/>
                <w:szCs w:val="20"/>
              </w:rPr>
            </w:pPr>
            <w:bookmarkStart w:id="46" w:name="bookmark46"/>
            <w:bookmarkEnd w:id="46"/>
            <w:r>
              <w:rPr>
                <w:rFonts w:ascii="Arial" w:hAnsi="Arial" w:cs="Arial"/>
                <w:sz w:val="20"/>
                <w:szCs w:val="20"/>
                <w:lang w:val="en-US"/>
              </w:rPr>
              <w:t xml:space="preserve">- </w:t>
            </w:r>
            <w:r w:rsidR="002067C9" w:rsidRPr="002067C9">
              <w:rPr>
                <w:rFonts w:ascii="Arial" w:hAnsi="Arial" w:cs="Arial"/>
                <w:sz w:val="20"/>
                <w:szCs w:val="20"/>
              </w:rPr>
              <w:t>Lãnh đạo Cục (để báo cáo);</w:t>
            </w:r>
          </w:p>
          <w:p w:rsidR="002067C9" w:rsidRPr="002067C9" w:rsidRDefault="00B03515" w:rsidP="002067C9">
            <w:pPr>
              <w:pStyle w:val="Vnbnnidung20"/>
              <w:tabs>
                <w:tab w:val="left" w:pos="258"/>
              </w:tabs>
              <w:rPr>
                <w:rFonts w:ascii="Arial" w:hAnsi="Arial" w:cs="Arial"/>
                <w:sz w:val="20"/>
                <w:szCs w:val="20"/>
              </w:rPr>
            </w:pPr>
            <w:bookmarkStart w:id="47" w:name="bookmark47"/>
            <w:bookmarkEnd w:id="47"/>
            <w:r>
              <w:rPr>
                <w:rFonts w:ascii="Arial" w:hAnsi="Arial" w:cs="Arial"/>
                <w:sz w:val="20"/>
                <w:szCs w:val="20"/>
                <w:lang w:val="en-US"/>
              </w:rPr>
              <w:t xml:space="preserve">- </w:t>
            </w:r>
            <w:r w:rsidR="002067C9" w:rsidRPr="002067C9">
              <w:rPr>
                <w:rFonts w:ascii="Arial" w:hAnsi="Arial" w:cs="Arial"/>
                <w:sz w:val="20"/>
                <w:szCs w:val="20"/>
              </w:rPr>
              <w:t>Các Phòng thuộc Cục Thuế;</w:t>
            </w:r>
          </w:p>
          <w:p w:rsidR="002067C9" w:rsidRPr="002067C9" w:rsidRDefault="00B03515" w:rsidP="002067C9">
            <w:pPr>
              <w:pStyle w:val="Vnbnnidung20"/>
              <w:tabs>
                <w:tab w:val="left" w:pos="262"/>
              </w:tabs>
              <w:rPr>
                <w:rFonts w:ascii="Arial" w:hAnsi="Arial" w:cs="Arial"/>
                <w:sz w:val="20"/>
                <w:szCs w:val="20"/>
              </w:rPr>
            </w:pPr>
            <w:bookmarkStart w:id="48" w:name="bookmark48"/>
            <w:bookmarkEnd w:id="48"/>
            <w:r>
              <w:rPr>
                <w:rFonts w:ascii="Arial" w:hAnsi="Arial" w:cs="Arial"/>
                <w:sz w:val="20"/>
                <w:szCs w:val="20"/>
                <w:lang w:val="en-US"/>
              </w:rPr>
              <w:t xml:space="preserve">- </w:t>
            </w:r>
            <w:r w:rsidR="002067C9" w:rsidRPr="002067C9">
              <w:rPr>
                <w:rFonts w:ascii="Arial" w:hAnsi="Arial" w:cs="Arial"/>
                <w:sz w:val="20"/>
                <w:szCs w:val="20"/>
              </w:rPr>
              <w:t>Chi cục Thuế các huyện, tp, kv (T/báo cho NNT quản lý);</w:t>
            </w:r>
          </w:p>
          <w:p w:rsidR="002067C9" w:rsidRPr="002067C9" w:rsidRDefault="00B03515" w:rsidP="002067C9">
            <w:pPr>
              <w:pStyle w:val="Vnbnnidung20"/>
              <w:tabs>
                <w:tab w:val="left" w:pos="258"/>
              </w:tabs>
              <w:rPr>
                <w:rFonts w:ascii="Arial" w:hAnsi="Arial" w:cs="Arial"/>
                <w:sz w:val="20"/>
                <w:szCs w:val="20"/>
              </w:rPr>
            </w:pPr>
            <w:bookmarkStart w:id="49" w:name="bookmark49"/>
            <w:bookmarkEnd w:id="49"/>
            <w:r>
              <w:rPr>
                <w:rFonts w:ascii="Arial" w:hAnsi="Arial" w:cs="Arial"/>
                <w:sz w:val="20"/>
                <w:szCs w:val="20"/>
                <w:lang w:val="en-US"/>
              </w:rPr>
              <w:t xml:space="preserve">- </w:t>
            </w:r>
            <w:r w:rsidR="002067C9" w:rsidRPr="002067C9">
              <w:rPr>
                <w:rFonts w:ascii="Arial" w:hAnsi="Arial" w:cs="Arial"/>
                <w:sz w:val="20"/>
                <w:szCs w:val="20"/>
              </w:rPr>
              <w:t>Website Cục Thuế;</w:t>
            </w:r>
          </w:p>
          <w:p w:rsidR="002067C9" w:rsidRPr="00BD0932" w:rsidRDefault="00B03515" w:rsidP="002067C9">
            <w:pPr>
              <w:pStyle w:val="Vnbnnidung20"/>
              <w:tabs>
                <w:tab w:val="left" w:pos="258"/>
              </w:tabs>
              <w:rPr>
                <w:rFonts w:ascii="Arial" w:hAnsi="Arial" w:cs="Arial"/>
                <w:sz w:val="20"/>
                <w:szCs w:val="20"/>
              </w:rPr>
            </w:pPr>
            <w:bookmarkStart w:id="50" w:name="bookmark50"/>
            <w:bookmarkEnd w:id="50"/>
            <w:r>
              <w:rPr>
                <w:rFonts w:ascii="Arial" w:hAnsi="Arial" w:cs="Arial"/>
                <w:sz w:val="20"/>
                <w:szCs w:val="20"/>
                <w:lang w:val="en-US"/>
              </w:rPr>
              <w:t xml:space="preserve">- </w:t>
            </w:r>
            <w:r w:rsidR="002067C9" w:rsidRPr="002067C9">
              <w:rPr>
                <w:rFonts w:ascii="Arial" w:hAnsi="Arial" w:cs="Arial"/>
                <w:sz w:val="20"/>
                <w:szCs w:val="20"/>
              </w:rPr>
              <w:t>Lưu: VT, TTHT (21).</w:t>
            </w:r>
          </w:p>
        </w:tc>
        <w:tc>
          <w:tcPr>
            <w:tcW w:w="4584" w:type="dxa"/>
          </w:tcPr>
          <w:p w:rsidR="002067C9" w:rsidRPr="001C31C1" w:rsidRDefault="002067C9" w:rsidP="001A5E7E">
            <w:pPr>
              <w:pStyle w:val="Vnbnnidung0"/>
              <w:tabs>
                <w:tab w:val="left" w:pos="4030"/>
                <w:tab w:val="left" w:leader="dot" w:pos="4198"/>
              </w:tabs>
              <w:ind w:left="360" w:firstLine="0"/>
              <w:jc w:val="center"/>
              <w:rPr>
                <w:rFonts w:ascii="Arial" w:hAnsi="Arial" w:cs="Arial"/>
                <w:b/>
                <w:i/>
                <w:color w:val="auto"/>
                <w:sz w:val="20"/>
                <w:szCs w:val="20"/>
              </w:rPr>
            </w:pPr>
            <w:r w:rsidRPr="001C31C1">
              <w:rPr>
                <w:rFonts w:ascii="Arial" w:hAnsi="Arial" w:cs="Arial"/>
                <w:b/>
                <w:color w:val="auto"/>
                <w:sz w:val="20"/>
                <w:szCs w:val="20"/>
                <w:lang w:val="en-US"/>
              </w:rPr>
              <w:t>KT. C</w:t>
            </w:r>
            <w:r w:rsidRPr="001C31C1">
              <w:rPr>
                <w:rFonts w:ascii="Arial" w:hAnsi="Arial" w:cs="Arial"/>
                <w:b/>
                <w:color w:val="auto"/>
                <w:sz w:val="20"/>
                <w:szCs w:val="20"/>
              </w:rPr>
              <w:t>ỤC TRƯỞNG</w:t>
            </w:r>
          </w:p>
          <w:p w:rsidR="002067C9" w:rsidRPr="001C31C1" w:rsidRDefault="002067C9" w:rsidP="001A5E7E">
            <w:pPr>
              <w:pStyle w:val="Vnbnnidung0"/>
              <w:tabs>
                <w:tab w:val="left" w:pos="4030"/>
                <w:tab w:val="left" w:leader="dot" w:pos="4198"/>
              </w:tabs>
              <w:ind w:left="360" w:firstLine="0"/>
              <w:jc w:val="center"/>
              <w:rPr>
                <w:rFonts w:ascii="Arial" w:hAnsi="Arial" w:cs="Arial"/>
                <w:b/>
                <w:i/>
                <w:color w:val="auto"/>
                <w:sz w:val="20"/>
                <w:szCs w:val="20"/>
              </w:rPr>
            </w:pPr>
            <w:r w:rsidRPr="001C31C1">
              <w:rPr>
                <w:rFonts w:ascii="Arial" w:hAnsi="Arial" w:cs="Arial"/>
                <w:b/>
                <w:color w:val="auto"/>
                <w:sz w:val="20"/>
                <w:szCs w:val="20"/>
                <w:lang w:val="en-US"/>
              </w:rPr>
              <w:t>PHÓ C</w:t>
            </w:r>
            <w:r w:rsidRPr="001C31C1">
              <w:rPr>
                <w:rFonts w:ascii="Arial" w:hAnsi="Arial" w:cs="Arial"/>
                <w:b/>
                <w:color w:val="auto"/>
                <w:sz w:val="20"/>
                <w:szCs w:val="20"/>
              </w:rPr>
              <w:t>ỤC TRƯỞNG</w:t>
            </w:r>
          </w:p>
          <w:p w:rsidR="002067C9" w:rsidRDefault="002067C9" w:rsidP="001A5E7E">
            <w:pPr>
              <w:pStyle w:val="Vnbnnidung0"/>
              <w:tabs>
                <w:tab w:val="left" w:pos="4030"/>
                <w:tab w:val="left" w:leader="dot" w:pos="4198"/>
              </w:tabs>
              <w:ind w:left="360" w:firstLine="0"/>
              <w:jc w:val="center"/>
              <w:rPr>
                <w:rFonts w:ascii="Arial" w:hAnsi="Arial" w:cs="Arial"/>
                <w:b/>
                <w:color w:val="auto"/>
                <w:sz w:val="20"/>
                <w:szCs w:val="20"/>
              </w:rPr>
            </w:pPr>
          </w:p>
          <w:p w:rsidR="00B03515" w:rsidRDefault="00B03515" w:rsidP="001A5E7E">
            <w:pPr>
              <w:pStyle w:val="Vnbnnidung0"/>
              <w:tabs>
                <w:tab w:val="left" w:pos="4030"/>
                <w:tab w:val="left" w:leader="dot" w:pos="4198"/>
              </w:tabs>
              <w:ind w:left="360" w:firstLine="0"/>
              <w:jc w:val="center"/>
              <w:rPr>
                <w:rFonts w:ascii="Arial" w:hAnsi="Arial" w:cs="Arial"/>
                <w:b/>
                <w:color w:val="auto"/>
                <w:sz w:val="20"/>
                <w:szCs w:val="20"/>
              </w:rPr>
            </w:pPr>
          </w:p>
          <w:p w:rsidR="00B03515" w:rsidRPr="00B03515" w:rsidRDefault="00B03515" w:rsidP="001A5E7E">
            <w:pPr>
              <w:pStyle w:val="Vnbnnidung0"/>
              <w:tabs>
                <w:tab w:val="left" w:pos="4030"/>
                <w:tab w:val="left" w:leader="dot" w:pos="4198"/>
              </w:tabs>
              <w:ind w:left="360" w:firstLine="0"/>
              <w:jc w:val="center"/>
              <w:rPr>
                <w:rFonts w:ascii="Arial" w:hAnsi="Arial" w:cs="Arial"/>
                <w:b/>
                <w:color w:val="auto"/>
                <w:sz w:val="20"/>
                <w:szCs w:val="20"/>
              </w:rPr>
            </w:pPr>
          </w:p>
          <w:p w:rsidR="002067C9" w:rsidRPr="00614B75" w:rsidRDefault="00B03515" w:rsidP="001A5E7E">
            <w:pPr>
              <w:pStyle w:val="Vnbnnidung0"/>
              <w:tabs>
                <w:tab w:val="left" w:pos="4030"/>
                <w:tab w:val="left" w:leader="dot" w:pos="4198"/>
              </w:tabs>
              <w:ind w:left="360" w:firstLine="0"/>
              <w:jc w:val="center"/>
              <w:rPr>
                <w:rFonts w:ascii="Arial" w:hAnsi="Arial" w:cs="Arial"/>
                <w:b/>
                <w:color w:val="auto"/>
                <w:sz w:val="20"/>
                <w:szCs w:val="20"/>
              </w:rPr>
            </w:pPr>
            <w:r>
              <w:rPr>
                <w:rFonts w:ascii="Arial" w:hAnsi="Arial" w:cs="Arial"/>
                <w:b/>
                <w:color w:val="auto"/>
                <w:sz w:val="20"/>
                <w:szCs w:val="20"/>
                <w:lang w:val="en-US"/>
              </w:rPr>
              <w:t>Nguyễn Thị Mẫn</w:t>
            </w:r>
          </w:p>
        </w:tc>
      </w:tr>
    </w:tbl>
    <w:p w:rsidR="00BD0D8D" w:rsidRPr="002067C9" w:rsidRDefault="00BD0D8D" w:rsidP="00B03515">
      <w:pPr>
        <w:pStyle w:val="Vnbnnidung20"/>
        <w:spacing w:line="218" w:lineRule="auto"/>
        <w:rPr>
          <w:rFonts w:ascii="Arial" w:hAnsi="Arial" w:cs="Arial"/>
          <w:sz w:val="20"/>
          <w:szCs w:val="20"/>
        </w:rPr>
      </w:pPr>
    </w:p>
    <w:sectPr w:rsidR="00BD0D8D" w:rsidRPr="002067C9">
      <w:headerReference w:type="default" r:id="rId7"/>
      <w:headerReference w:type="first" r:id="rId8"/>
      <w:pgSz w:w="11900" w:h="16840"/>
      <w:pgMar w:top="1472" w:right="1096" w:bottom="1578" w:left="1656"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184" w:rsidRDefault="00C91184">
      <w:r>
        <w:separator/>
      </w:r>
    </w:p>
  </w:endnote>
  <w:endnote w:type="continuationSeparator" w:id="0">
    <w:p w:rsidR="00C91184" w:rsidRDefault="00C9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184" w:rsidRDefault="00C91184"/>
  </w:footnote>
  <w:footnote w:type="continuationSeparator" w:id="0">
    <w:p w:rsidR="00C91184" w:rsidRDefault="00C9118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D8D" w:rsidRDefault="00C91184">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3926840</wp:posOffset>
              </wp:positionH>
              <wp:positionV relativeFrom="page">
                <wp:posOffset>352425</wp:posOffset>
              </wp:positionV>
              <wp:extent cx="54610" cy="88265"/>
              <wp:effectExtent l="0" t="0" r="0" b="0"/>
              <wp:wrapNone/>
              <wp:docPr id="7" name="Shape 7"/>
              <wp:cNvGraphicFramePr/>
              <a:graphic xmlns:a="http://schemas.openxmlformats.org/drawingml/2006/main">
                <a:graphicData uri="http://schemas.microsoft.com/office/word/2010/wordprocessingShape">
                  <wps:wsp>
                    <wps:cNvSpPr txBox="1"/>
                    <wps:spPr>
                      <a:xfrm>
                        <a:off x="0" y="0"/>
                        <a:ext cx="54610" cy="88265"/>
                      </a:xfrm>
                      <a:prstGeom prst="rect">
                        <a:avLst/>
                      </a:prstGeom>
                      <a:noFill/>
                    </wps:spPr>
                    <wps:txbx>
                      <w:txbxContent>
                        <w:p w:rsidR="00BD0D8D" w:rsidRDefault="00C91184">
                          <w:pPr>
                            <w:pStyle w:val="utranghocchntrang20"/>
                            <w:rPr>
                              <w:sz w:val="22"/>
                              <w:szCs w:val="22"/>
                            </w:rPr>
                          </w:pPr>
                          <w:r>
                            <w:fldChar w:fldCharType="begin"/>
                          </w:r>
                          <w:r>
                            <w:instrText xml:space="preserve"> PAGE \* MERGEFORMAT </w:instrText>
                          </w:r>
                          <w:r>
                            <w:fldChar w:fldCharType="separate"/>
                          </w:r>
                          <w:r w:rsidR="00B03515" w:rsidRPr="00B03515">
                            <w:rPr>
                              <w:rFonts w:ascii="Calibri" w:eastAsia="Calibri" w:hAnsi="Calibri" w:cs="Calibri"/>
                              <w:i/>
                              <w:iCs/>
                              <w:noProof/>
                              <w:sz w:val="22"/>
                              <w:szCs w:val="22"/>
                            </w:rPr>
                            <w:t>3</w:t>
                          </w:r>
                          <w:r>
                            <w:rPr>
                              <w:rFonts w:ascii="Calibri" w:eastAsia="Calibri" w:hAnsi="Calibri" w:cs="Calibri"/>
                              <w:i/>
                              <w:iCs/>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309.2pt;margin-top:27.75pt;width:4.3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" filled="f" stroked="f">
              <v:textbox style="mso-fit-shape-to-text:t" inset="0,0,0,0">
                <w:txbxContent>
                  <w:p w:rsidR="00BD0D8D" w:rsidRDefault="00C91184">
                    <w:pPr>
                      <w:pStyle w:val="utranghocchntrang20"/>
                      <w:rPr>
                        <w:sz w:val="22"/>
                        <w:szCs w:val="22"/>
                      </w:rPr>
                    </w:pPr>
                    <w:r>
                      <w:fldChar w:fldCharType="begin"/>
                    </w:r>
                    <w:r>
                      <w:instrText xml:space="preserve"> PAGE \* MERGEFORMAT </w:instrText>
                    </w:r>
                    <w:r>
                      <w:fldChar w:fldCharType="separate"/>
                    </w:r>
                    <w:r w:rsidR="00B03515" w:rsidRPr="00B03515">
                      <w:rPr>
                        <w:rFonts w:ascii="Calibri" w:eastAsia="Calibri" w:hAnsi="Calibri" w:cs="Calibri"/>
                        <w:i/>
                        <w:iCs/>
                        <w:noProof/>
                        <w:sz w:val="22"/>
                        <w:szCs w:val="22"/>
                      </w:rPr>
                      <w:t>3</w:t>
                    </w:r>
                    <w:r>
                      <w:rPr>
                        <w:rFonts w:ascii="Calibri" w:eastAsia="Calibri" w:hAnsi="Calibri" w:cs="Calibri"/>
                        <w:i/>
                        <w:iCs/>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D8D" w:rsidRDefault="00BD0D8D">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671689"/>
    <w:multiLevelType w:val="multilevel"/>
    <w:tmpl w:val="96C231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A60302"/>
    <w:multiLevelType w:val="multilevel"/>
    <w:tmpl w:val="3EA4A3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8D"/>
    <w:rsid w:val="002067C9"/>
    <w:rsid w:val="00B03515"/>
    <w:rsid w:val="00BD0D8D"/>
    <w:rsid w:val="00C91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89E9"/>
  <w15:docId w15:val="{BF7242DF-120F-46C5-B1B5-2769B477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0">
    <w:name w:val="Văn bản nội dung"/>
    <w:basedOn w:val="Normal"/>
    <w:link w:val="Vnbnnidung"/>
    <w:pPr>
      <w:ind w:firstLine="400"/>
    </w:pPr>
    <w:rPr>
      <w:rFonts w:ascii="Times New Roman" w:eastAsia="Times New Roman" w:hAnsi="Times New Roman" w:cs="Times New Roman"/>
      <w:sz w:val="28"/>
      <w:szCs w:val="28"/>
    </w:rPr>
  </w:style>
  <w:style w:type="paragraph" w:customStyle="1" w:styleId="Chthchnh0">
    <w:name w:val="Chú thích ảnh"/>
    <w:basedOn w:val="Normal"/>
    <w:link w:val="Chthchnh"/>
    <w:pPr>
      <w:jc w:val="center"/>
    </w:pPr>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rPr>
      <w:rFonts w:ascii="Times New Roman" w:eastAsia="Times New Roman" w:hAnsi="Times New Roman" w:cs="Times New Roman"/>
      <w:sz w:val="22"/>
      <w:szCs w:val="22"/>
    </w:rPr>
  </w:style>
  <w:style w:type="paragraph" w:customStyle="1" w:styleId="Tiu10">
    <w:name w:val="Tiêu đề #1"/>
    <w:basedOn w:val="Normal"/>
    <w:link w:val="Tiu1"/>
    <w:pPr>
      <w:ind w:firstLine="740"/>
      <w:outlineLvl w:val="0"/>
    </w:pPr>
    <w:rPr>
      <w:rFonts w:ascii="Times New Roman" w:eastAsia="Times New Roman" w:hAnsi="Times New Roman" w:cs="Times New Roman"/>
      <w:b/>
      <w:b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table" w:styleId="TableGrid">
    <w:name w:val="Table Grid"/>
    <w:basedOn w:val="TableNormal"/>
    <w:uiPriority w:val="39"/>
    <w:rsid w:val="00206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Cuc Thue</dc:creator>
  <cp:keywords/>
  <cp:lastModifiedBy>Admin</cp:lastModifiedBy>
  <cp:revision>2</cp:revision>
  <dcterms:created xsi:type="dcterms:W3CDTF">2025-03-17T07:37:00Z</dcterms:created>
  <dcterms:modified xsi:type="dcterms:W3CDTF">2025-03-17T08:05:00Z</dcterms:modified>
</cp:coreProperties>
</file>